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4E74C896" w:rsidR="00B6048B" w:rsidRPr="005114D4"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UDAIAAPc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CF4453">
        <w:rPr>
          <w:rFonts w:ascii="Times New Roman" w:eastAsia="Times New Roman" w:hAnsi="Times New Roman" w:cs="Times New Roman"/>
          <w:b/>
          <w:sz w:val="30"/>
          <w:szCs w:val="30"/>
        </w:rPr>
        <w:t>F</w:t>
      </w:r>
      <w:r w:rsidR="00C30793">
        <w:rPr>
          <w:rFonts w:ascii="Times New Roman" w:eastAsia="Times New Roman" w:hAnsi="Times New Roman" w:cs="Times New Roman"/>
          <w:b/>
          <w:sz w:val="30"/>
          <w:szCs w:val="30"/>
        </w:rPr>
        <w:t>irst</w:t>
      </w:r>
      <w:r w:rsidR="00CC081C">
        <w:rPr>
          <w:rFonts w:ascii="Times New Roman" w:eastAsia="Times New Roman" w:hAnsi="Times New Roman" w:cs="Times New Roman"/>
          <w:b/>
          <w:sz w:val="30"/>
          <w:szCs w:val="30"/>
        </w:rPr>
        <w:t xml:space="preserve"> Quarter 202</w:t>
      </w:r>
      <w:r w:rsidR="00C30793">
        <w:rPr>
          <w:rFonts w:ascii="Times New Roman" w:eastAsia="Times New Roman" w:hAnsi="Times New Roman" w:cs="Times New Roman"/>
          <w:b/>
          <w:sz w:val="30"/>
          <w:szCs w:val="30"/>
        </w:rPr>
        <w:t>3</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5114D4">
        <w:rPr>
          <w:rFonts w:ascii="Times New Roman" w:eastAsia="Times New Roman" w:hAnsi="Times New Roman" w:cs="Times New Roman"/>
          <w:sz w:val="27"/>
          <w:szCs w:val="27"/>
        </w:rPr>
        <w:t xml:space="preserve">WETHERSFIELD, </w:t>
      </w:r>
      <w:r w:rsidR="005114D4" w:rsidRPr="005114D4">
        <w:rPr>
          <w:rFonts w:ascii="Times New Roman" w:eastAsia="Times New Roman" w:hAnsi="Times New Roman" w:cs="Times New Roman"/>
          <w:sz w:val="27"/>
          <w:szCs w:val="27"/>
        </w:rPr>
        <w:t xml:space="preserve">October 25, 2023 </w:t>
      </w:r>
      <w:r w:rsidR="002D43D7" w:rsidRPr="005114D4">
        <w:rPr>
          <w:rFonts w:ascii="Times New Roman" w:eastAsia="Times New Roman" w:hAnsi="Times New Roman" w:cs="Times New Roman"/>
          <w:sz w:val="27"/>
          <w:szCs w:val="27"/>
        </w:rPr>
        <w:t xml:space="preserve">- </w:t>
      </w:r>
      <w:r w:rsidR="006765A2" w:rsidRPr="005114D4">
        <w:rPr>
          <w:rFonts w:ascii="Times New Roman" w:eastAsia="Times New Roman" w:hAnsi="Times New Roman" w:cs="Times New Roman"/>
          <w:sz w:val="27"/>
          <w:szCs w:val="27"/>
        </w:rPr>
        <w:t>Business Employment Dynamics (BED) data published quarterly by</w:t>
      </w:r>
      <w:r w:rsidR="00147FED" w:rsidRPr="005114D4">
        <w:rPr>
          <w:rFonts w:ascii="Times New Roman" w:eastAsia="Times New Roman" w:hAnsi="Times New Roman" w:cs="Times New Roman"/>
          <w:sz w:val="27"/>
          <w:szCs w:val="27"/>
        </w:rPr>
        <w:t xml:space="preserve"> the Bureau of Labor Statistics tracks employment change </w:t>
      </w:r>
      <w:r w:rsidR="006765A2" w:rsidRPr="005114D4">
        <w:rPr>
          <w:rFonts w:ascii="Times New Roman" w:eastAsia="Times New Roman" w:hAnsi="Times New Roman" w:cs="Times New Roman"/>
          <w:sz w:val="27"/>
          <w:szCs w:val="27"/>
        </w:rPr>
        <w:t>at the establishment level and reveals the underlying dynamics of net employment change.</w:t>
      </w:r>
      <w:r w:rsidR="000B3C0E" w:rsidRPr="005114D4">
        <w:rPr>
          <w:rFonts w:ascii="Times New Roman" w:eastAsia="Times New Roman" w:hAnsi="Times New Roman" w:cs="Times New Roman"/>
          <w:sz w:val="27"/>
          <w:szCs w:val="27"/>
        </w:rPr>
        <w:t xml:space="preserve">  The data include</w:t>
      </w:r>
      <w:r w:rsidR="00147FED" w:rsidRPr="005114D4">
        <w:rPr>
          <w:rFonts w:ascii="Times New Roman" w:eastAsia="Times New Roman" w:hAnsi="Times New Roman" w:cs="Times New Roman"/>
          <w:sz w:val="27"/>
          <w:szCs w:val="27"/>
        </w:rPr>
        <w:t xml:space="preserve"> gross employment change, bus</w:t>
      </w:r>
      <w:r w:rsidR="000B3C0E" w:rsidRPr="005114D4">
        <w:rPr>
          <w:rFonts w:ascii="Times New Roman" w:eastAsia="Times New Roman" w:hAnsi="Times New Roman" w:cs="Times New Roman"/>
          <w:sz w:val="27"/>
          <w:szCs w:val="27"/>
        </w:rPr>
        <w:t>iness expansion/contraction, establishment birth/death, and is available at sector level.</w:t>
      </w:r>
      <w:r w:rsidR="003217F1" w:rsidRPr="005114D4">
        <w:rPr>
          <w:rFonts w:ascii="Times New Roman" w:eastAsia="Times New Roman" w:hAnsi="Times New Roman" w:cs="Times New Roman"/>
          <w:sz w:val="27"/>
          <w:szCs w:val="27"/>
        </w:rPr>
        <w:t xml:space="preserve"> </w:t>
      </w:r>
      <w:r w:rsidR="0040001C" w:rsidRPr="005114D4">
        <w:rPr>
          <w:rFonts w:ascii="Times New Roman" w:eastAsia="Times New Roman" w:hAnsi="Times New Roman" w:cs="Times New Roman"/>
          <w:sz w:val="27"/>
          <w:szCs w:val="27"/>
        </w:rPr>
        <w:br/>
      </w:r>
      <w:r w:rsidR="00BD50D9" w:rsidRPr="005114D4">
        <w:rPr>
          <w:rFonts w:ascii="Times New Roman" w:eastAsia="Times New Roman" w:hAnsi="Times New Roman" w:cs="Times New Roman"/>
          <w:sz w:val="27"/>
          <w:szCs w:val="27"/>
        </w:rPr>
        <w:br/>
      </w:r>
      <w:r w:rsidR="007C32D0" w:rsidRPr="005114D4">
        <w:rPr>
          <w:rFonts w:ascii="Times New Roman" w:eastAsia="Times New Roman" w:hAnsi="Times New Roman" w:cs="Times New Roman"/>
          <w:sz w:val="27"/>
          <w:szCs w:val="27"/>
        </w:rPr>
        <w:t>From</w:t>
      </w:r>
      <w:r w:rsidR="00177E30" w:rsidRPr="005114D4">
        <w:rPr>
          <w:rFonts w:ascii="Times New Roman" w:eastAsia="Times New Roman" w:hAnsi="Times New Roman" w:cs="Times New Roman"/>
          <w:sz w:val="27"/>
          <w:szCs w:val="27"/>
        </w:rPr>
        <w:t xml:space="preserve"> </w:t>
      </w:r>
      <w:r w:rsidR="005114D4" w:rsidRPr="005114D4">
        <w:rPr>
          <w:rFonts w:ascii="Times New Roman" w:eastAsia="Times New Roman" w:hAnsi="Times New Roman" w:cs="Times New Roman"/>
          <w:sz w:val="27"/>
          <w:szCs w:val="27"/>
        </w:rPr>
        <w:t>January 2023 to March 2023,</w:t>
      </w:r>
      <w:r w:rsidR="006E2670" w:rsidRPr="005114D4">
        <w:rPr>
          <w:rFonts w:ascii="Times New Roman" w:eastAsia="Times New Roman" w:hAnsi="Times New Roman" w:cs="Times New Roman"/>
          <w:sz w:val="27"/>
          <w:szCs w:val="27"/>
        </w:rPr>
        <w:t xml:space="preserve"> </w:t>
      </w:r>
      <w:r w:rsidR="006E2670" w:rsidRPr="005114D4">
        <w:rPr>
          <w:rFonts w:ascii="Times New Roman" w:eastAsia="Times New Roman" w:hAnsi="Times New Roman" w:cs="Times New Roman"/>
          <w:b/>
          <w:sz w:val="27"/>
          <w:szCs w:val="27"/>
        </w:rPr>
        <w:t>gross job gains</w:t>
      </w:r>
      <w:r w:rsidR="006E2670" w:rsidRPr="005114D4">
        <w:rPr>
          <w:rFonts w:ascii="Times New Roman" w:eastAsia="Times New Roman" w:hAnsi="Times New Roman" w:cs="Times New Roman"/>
          <w:sz w:val="27"/>
          <w:szCs w:val="27"/>
        </w:rPr>
        <w:t xml:space="preserve"> from opening and expanding pr</w:t>
      </w:r>
      <w:r w:rsidR="008A71B4" w:rsidRPr="005114D4">
        <w:rPr>
          <w:rFonts w:ascii="Times New Roman" w:eastAsia="Times New Roman" w:hAnsi="Times New Roman" w:cs="Times New Roman"/>
          <w:sz w:val="27"/>
          <w:szCs w:val="27"/>
        </w:rPr>
        <w:t xml:space="preserve">ivate sector establishments </w:t>
      </w:r>
      <w:r w:rsidR="00033251" w:rsidRPr="005114D4">
        <w:rPr>
          <w:rFonts w:ascii="Times New Roman" w:eastAsia="Times New Roman" w:hAnsi="Times New Roman" w:cs="Times New Roman"/>
          <w:sz w:val="27"/>
          <w:szCs w:val="27"/>
        </w:rPr>
        <w:t xml:space="preserve">in Connecticut </w:t>
      </w:r>
      <w:r w:rsidR="008A71B4" w:rsidRPr="005114D4">
        <w:rPr>
          <w:rFonts w:ascii="Times New Roman" w:eastAsia="Times New Roman" w:hAnsi="Times New Roman" w:cs="Times New Roman"/>
          <w:sz w:val="27"/>
          <w:szCs w:val="27"/>
        </w:rPr>
        <w:t>was</w:t>
      </w:r>
      <w:r w:rsidR="005114D4" w:rsidRPr="005114D4">
        <w:rPr>
          <w:rFonts w:ascii="Times New Roman" w:eastAsia="Times New Roman" w:hAnsi="Times New Roman" w:cs="Times New Roman"/>
          <w:sz w:val="27"/>
          <w:szCs w:val="27"/>
        </w:rPr>
        <w:t xml:space="preserve"> 87,749</w:t>
      </w:r>
      <w:r w:rsidR="00C91631" w:rsidRPr="005114D4">
        <w:rPr>
          <w:rFonts w:ascii="Times New Roman" w:eastAsia="Times New Roman" w:hAnsi="Times New Roman" w:cs="Times New Roman"/>
          <w:sz w:val="27"/>
          <w:szCs w:val="27"/>
        </w:rPr>
        <w:t>,</w:t>
      </w:r>
      <w:r w:rsidR="00942737" w:rsidRPr="005114D4">
        <w:rPr>
          <w:rFonts w:ascii="Times New Roman" w:eastAsia="Times New Roman" w:hAnsi="Times New Roman" w:cs="Times New Roman"/>
          <w:sz w:val="27"/>
          <w:szCs w:val="27"/>
        </w:rPr>
        <w:t xml:space="preserve"> a</w:t>
      </w:r>
      <w:r w:rsidR="001067BF" w:rsidRPr="005114D4">
        <w:rPr>
          <w:rFonts w:ascii="Times New Roman" w:eastAsia="Times New Roman" w:hAnsi="Times New Roman" w:cs="Times New Roman"/>
          <w:sz w:val="27"/>
          <w:szCs w:val="27"/>
        </w:rPr>
        <w:t xml:space="preserve"> </w:t>
      </w:r>
      <w:r w:rsidR="005114D4" w:rsidRPr="005114D4">
        <w:rPr>
          <w:rFonts w:ascii="Times New Roman" w:eastAsia="Times New Roman" w:hAnsi="Times New Roman" w:cs="Times New Roman"/>
          <w:sz w:val="27"/>
          <w:szCs w:val="27"/>
        </w:rPr>
        <w:t>3,353 job increase</w:t>
      </w:r>
      <w:r w:rsidR="006E2670" w:rsidRPr="005114D4">
        <w:rPr>
          <w:rFonts w:ascii="Times New Roman" w:eastAsia="Times New Roman" w:hAnsi="Times New Roman" w:cs="Times New Roman"/>
          <w:sz w:val="27"/>
          <w:szCs w:val="27"/>
        </w:rPr>
        <w:t xml:space="preserve"> from the previous quarter</w:t>
      </w:r>
      <w:r w:rsidR="00D8500D" w:rsidRPr="005114D4">
        <w:rPr>
          <w:rFonts w:ascii="Times New Roman" w:eastAsia="Times New Roman" w:hAnsi="Times New Roman" w:cs="Times New Roman"/>
          <w:sz w:val="27"/>
          <w:szCs w:val="27"/>
        </w:rPr>
        <w:t xml:space="preserve">.  </w:t>
      </w:r>
      <w:r w:rsidR="006E2670" w:rsidRPr="005114D4">
        <w:rPr>
          <w:rFonts w:ascii="Times New Roman" w:eastAsia="Times New Roman" w:hAnsi="Times New Roman" w:cs="Times New Roman"/>
          <w:sz w:val="27"/>
          <w:szCs w:val="27"/>
        </w:rPr>
        <w:t xml:space="preserve">Over this period, </w:t>
      </w:r>
      <w:r w:rsidR="006E2670" w:rsidRPr="005114D4">
        <w:rPr>
          <w:rFonts w:ascii="Times New Roman" w:eastAsia="Times New Roman" w:hAnsi="Times New Roman" w:cs="Times New Roman"/>
          <w:b/>
          <w:sz w:val="27"/>
          <w:szCs w:val="27"/>
        </w:rPr>
        <w:t>gross job losses</w:t>
      </w:r>
      <w:r w:rsidR="006E2670" w:rsidRPr="005114D4">
        <w:rPr>
          <w:rFonts w:ascii="Times New Roman" w:eastAsia="Times New Roman" w:hAnsi="Times New Roman" w:cs="Times New Roman"/>
          <w:sz w:val="27"/>
          <w:szCs w:val="27"/>
        </w:rPr>
        <w:t xml:space="preserve"> from closing and contracting private sector establishments </w:t>
      </w:r>
      <w:r w:rsidR="00120C3C" w:rsidRPr="005114D4">
        <w:rPr>
          <w:rFonts w:ascii="Times New Roman" w:eastAsia="Times New Roman" w:hAnsi="Times New Roman" w:cs="Times New Roman"/>
          <w:sz w:val="27"/>
          <w:szCs w:val="27"/>
        </w:rPr>
        <w:t>was</w:t>
      </w:r>
      <w:r w:rsidR="009178BB" w:rsidRPr="005114D4">
        <w:rPr>
          <w:rFonts w:ascii="Times New Roman" w:eastAsia="Times New Roman" w:hAnsi="Times New Roman" w:cs="Times New Roman"/>
          <w:sz w:val="27"/>
          <w:szCs w:val="27"/>
        </w:rPr>
        <w:t xml:space="preserve"> </w:t>
      </w:r>
      <w:r w:rsidR="005114D4" w:rsidRPr="005114D4">
        <w:rPr>
          <w:rFonts w:ascii="Times New Roman" w:eastAsia="Times New Roman" w:hAnsi="Times New Roman" w:cs="Times New Roman"/>
          <w:sz w:val="27"/>
          <w:szCs w:val="27"/>
        </w:rPr>
        <w:t>75,054</w:t>
      </w:r>
      <w:r w:rsidR="00714CDA" w:rsidRPr="005114D4">
        <w:rPr>
          <w:rFonts w:ascii="Times New Roman" w:eastAsia="Times New Roman" w:hAnsi="Times New Roman" w:cs="Times New Roman"/>
          <w:sz w:val="27"/>
          <w:szCs w:val="27"/>
        </w:rPr>
        <w:t xml:space="preserve">, </w:t>
      </w:r>
      <w:r w:rsidR="0005259C" w:rsidRPr="005114D4">
        <w:rPr>
          <w:rFonts w:ascii="Times New Roman" w:eastAsia="Times New Roman" w:hAnsi="Times New Roman" w:cs="Times New Roman"/>
          <w:sz w:val="27"/>
          <w:szCs w:val="27"/>
        </w:rPr>
        <w:t>a decrease</w:t>
      </w:r>
      <w:r w:rsidR="002D0151" w:rsidRPr="005114D4">
        <w:rPr>
          <w:rFonts w:ascii="Times New Roman" w:eastAsia="Times New Roman" w:hAnsi="Times New Roman" w:cs="Times New Roman"/>
          <w:sz w:val="27"/>
          <w:szCs w:val="27"/>
        </w:rPr>
        <w:t xml:space="preserve"> </w:t>
      </w:r>
      <w:r w:rsidR="007A3266" w:rsidRPr="005114D4">
        <w:rPr>
          <w:rFonts w:ascii="Times New Roman" w:eastAsia="Times New Roman" w:hAnsi="Times New Roman" w:cs="Times New Roman"/>
          <w:sz w:val="27"/>
          <w:szCs w:val="27"/>
        </w:rPr>
        <w:t>of</w:t>
      </w:r>
      <w:r w:rsidR="00382E0C" w:rsidRPr="005114D4">
        <w:rPr>
          <w:rFonts w:ascii="Times New Roman" w:eastAsia="Times New Roman" w:hAnsi="Times New Roman" w:cs="Times New Roman"/>
          <w:sz w:val="27"/>
          <w:szCs w:val="27"/>
        </w:rPr>
        <w:t xml:space="preserve"> </w:t>
      </w:r>
      <w:r w:rsidR="005114D4" w:rsidRPr="005114D4">
        <w:rPr>
          <w:rFonts w:ascii="Times New Roman" w:eastAsia="Times New Roman" w:hAnsi="Times New Roman" w:cs="Times New Roman"/>
          <w:sz w:val="27"/>
          <w:szCs w:val="27"/>
        </w:rPr>
        <w:t>9,825</w:t>
      </w:r>
      <w:r w:rsidR="006E2670" w:rsidRPr="005114D4">
        <w:rPr>
          <w:rFonts w:ascii="Times New Roman" w:eastAsia="Times New Roman" w:hAnsi="Times New Roman" w:cs="Times New Roman"/>
          <w:sz w:val="27"/>
          <w:szCs w:val="27"/>
        </w:rPr>
        <w:t xml:space="preserve"> from the previous quarter. </w:t>
      </w:r>
      <w:r w:rsidR="008E78F9" w:rsidRPr="005114D4">
        <w:rPr>
          <w:rFonts w:ascii="Times New Roman" w:eastAsia="Times New Roman" w:hAnsi="Times New Roman" w:cs="Times New Roman"/>
          <w:sz w:val="27"/>
          <w:szCs w:val="27"/>
        </w:rPr>
        <w:br/>
      </w:r>
      <w:r w:rsidR="00520D02" w:rsidRPr="005114D4">
        <w:rPr>
          <w:rFonts w:ascii="Times New Roman" w:eastAsia="Times New Roman" w:hAnsi="Times New Roman" w:cs="Times New Roman"/>
          <w:sz w:val="27"/>
          <w:szCs w:val="27"/>
        </w:rPr>
        <w:br/>
        <w:t xml:space="preserve">During the </w:t>
      </w:r>
      <w:r w:rsidR="005114D4" w:rsidRPr="005114D4">
        <w:rPr>
          <w:rFonts w:ascii="Times New Roman" w:eastAsia="Times New Roman" w:hAnsi="Times New Roman" w:cs="Times New Roman"/>
          <w:sz w:val="27"/>
          <w:szCs w:val="27"/>
        </w:rPr>
        <w:t>first</w:t>
      </w:r>
      <w:r w:rsidR="00381F37" w:rsidRPr="005114D4">
        <w:rPr>
          <w:rFonts w:ascii="Times New Roman" w:eastAsia="Times New Roman" w:hAnsi="Times New Roman" w:cs="Times New Roman"/>
          <w:sz w:val="27"/>
          <w:szCs w:val="27"/>
        </w:rPr>
        <w:t xml:space="preserve"> quarter</w:t>
      </w:r>
      <w:r w:rsidR="00BD101F" w:rsidRPr="005114D4">
        <w:rPr>
          <w:rFonts w:ascii="Times New Roman" w:eastAsia="Times New Roman" w:hAnsi="Times New Roman" w:cs="Times New Roman"/>
          <w:sz w:val="27"/>
          <w:szCs w:val="27"/>
        </w:rPr>
        <w:t xml:space="preserve"> of 202</w:t>
      </w:r>
      <w:r w:rsidR="005114D4" w:rsidRPr="005114D4">
        <w:rPr>
          <w:rFonts w:ascii="Times New Roman" w:eastAsia="Times New Roman" w:hAnsi="Times New Roman" w:cs="Times New Roman"/>
          <w:sz w:val="27"/>
          <w:szCs w:val="27"/>
        </w:rPr>
        <w:t>3</w:t>
      </w:r>
      <w:r w:rsidR="00D729B1" w:rsidRPr="005114D4">
        <w:rPr>
          <w:rFonts w:ascii="Times New Roman" w:eastAsia="Times New Roman" w:hAnsi="Times New Roman" w:cs="Times New Roman"/>
          <w:sz w:val="27"/>
          <w:szCs w:val="27"/>
        </w:rPr>
        <w:t>,</w:t>
      </w:r>
      <w:r w:rsidR="00A97C6E" w:rsidRPr="005114D4">
        <w:rPr>
          <w:rFonts w:ascii="Times New Roman" w:eastAsia="Times New Roman" w:hAnsi="Times New Roman" w:cs="Times New Roman"/>
          <w:sz w:val="27"/>
          <w:szCs w:val="27"/>
        </w:rPr>
        <w:t xml:space="preserve"> the</w:t>
      </w:r>
      <w:r w:rsidR="006E2670" w:rsidRPr="005114D4">
        <w:rPr>
          <w:rFonts w:ascii="Times New Roman" w:eastAsia="Times New Roman" w:hAnsi="Times New Roman" w:cs="Times New Roman"/>
          <w:sz w:val="27"/>
          <w:szCs w:val="27"/>
        </w:rPr>
        <w:t xml:space="preserve"> </w:t>
      </w:r>
      <w:r w:rsidR="00516C85" w:rsidRPr="005114D4">
        <w:rPr>
          <w:rFonts w:ascii="Times New Roman" w:eastAsia="Times New Roman" w:hAnsi="Times New Roman" w:cs="Times New Roman"/>
          <w:sz w:val="27"/>
          <w:szCs w:val="27"/>
        </w:rPr>
        <w:t>difference between gross job gains and</w:t>
      </w:r>
      <w:r w:rsidR="006E2670" w:rsidRPr="005114D4">
        <w:rPr>
          <w:rFonts w:ascii="Times New Roman" w:eastAsia="Times New Roman" w:hAnsi="Times New Roman" w:cs="Times New Roman"/>
          <w:sz w:val="27"/>
          <w:szCs w:val="27"/>
        </w:rPr>
        <w:t xml:space="preserve"> gross job losses </w:t>
      </w:r>
      <w:r w:rsidR="00A6186F" w:rsidRPr="005114D4">
        <w:rPr>
          <w:rFonts w:ascii="Times New Roman" w:eastAsia="Times New Roman" w:hAnsi="Times New Roman" w:cs="Times New Roman"/>
          <w:sz w:val="27"/>
          <w:szCs w:val="27"/>
        </w:rPr>
        <w:t>yield</w:t>
      </w:r>
      <w:r w:rsidR="00D729B1" w:rsidRPr="005114D4">
        <w:rPr>
          <w:rFonts w:ascii="Times New Roman" w:eastAsia="Times New Roman" w:hAnsi="Times New Roman" w:cs="Times New Roman"/>
          <w:sz w:val="27"/>
          <w:szCs w:val="27"/>
        </w:rPr>
        <w:t>ed</w:t>
      </w:r>
      <w:r w:rsidR="00D94108" w:rsidRPr="005114D4">
        <w:rPr>
          <w:rFonts w:ascii="Times New Roman" w:eastAsia="Times New Roman" w:hAnsi="Times New Roman" w:cs="Times New Roman"/>
          <w:sz w:val="27"/>
          <w:szCs w:val="27"/>
        </w:rPr>
        <w:t xml:space="preserve"> a </w:t>
      </w:r>
      <w:r w:rsidR="00D94108" w:rsidRPr="005114D4">
        <w:rPr>
          <w:rFonts w:ascii="Times New Roman" w:eastAsia="Times New Roman" w:hAnsi="Times New Roman" w:cs="Times New Roman"/>
          <w:b/>
          <w:sz w:val="27"/>
          <w:szCs w:val="27"/>
        </w:rPr>
        <w:t>net</w:t>
      </w:r>
      <w:r w:rsidR="006E2670" w:rsidRPr="005114D4">
        <w:rPr>
          <w:rFonts w:ascii="Times New Roman" w:eastAsia="Times New Roman" w:hAnsi="Times New Roman" w:cs="Times New Roman"/>
          <w:sz w:val="27"/>
          <w:szCs w:val="27"/>
        </w:rPr>
        <w:t xml:space="preserve"> </w:t>
      </w:r>
      <w:r w:rsidR="006E2670" w:rsidRPr="005114D4">
        <w:rPr>
          <w:rFonts w:ascii="Times New Roman" w:eastAsia="Times New Roman" w:hAnsi="Times New Roman" w:cs="Times New Roman"/>
          <w:b/>
          <w:sz w:val="27"/>
          <w:szCs w:val="27"/>
        </w:rPr>
        <w:t>employment</w:t>
      </w:r>
      <w:r w:rsidR="00E23735" w:rsidRPr="005114D4">
        <w:rPr>
          <w:rFonts w:ascii="Times New Roman" w:eastAsia="Times New Roman" w:hAnsi="Times New Roman" w:cs="Times New Roman"/>
          <w:b/>
          <w:sz w:val="27"/>
          <w:szCs w:val="27"/>
        </w:rPr>
        <w:t xml:space="preserve"> </w:t>
      </w:r>
      <w:r w:rsidR="005114D4" w:rsidRPr="005114D4">
        <w:rPr>
          <w:rFonts w:ascii="Times New Roman" w:eastAsia="Times New Roman" w:hAnsi="Times New Roman" w:cs="Times New Roman"/>
          <w:b/>
          <w:sz w:val="27"/>
          <w:szCs w:val="27"/>
        </w:rPr>
        <w:t>in</w:t>
      </w:r>
      <w:r w:rsidR="003866A3" w:rsidRPr="005114D4">
        <w:rPr>
          <w:rFonts w:ascii="Times New Roman" w:eastAsia="Times New Roman" w:hAnsi="Times New Roman" w:cs="Times New Roman"/>
          <w:b/>
          <w:sz w:val="27"/>
          <w:szCs w:val="27"/>
        </w:rPr>
        <w:t xml:space="preserve">crease </w:t>
      </w:r>
      <w:r w:rsidR="003866A3" w:rsidRPr="005114D4">
        <w:rPr>
          <w:rFonts w:ascii="Times New Roman" w:eastAsia="Times New Roman" w:hAnsi="Times New Roman" w:cs="Times New Roman"/>
          <w:bCs/>
          <w:sz w:val="27"/>
          <w:szCs w:val="27"/>
        </w:rPr>
        <w:t>of</w:t>
      </w:r>
      <w:r w:rsidR="005114D4" w:rsidRPr="005114D4">
        <w:rPr>
          <w:rFonts w:ascii="Times New Roman" w:eastAsia="Times New Roman" w:hAnsi="Times New Roman" w:cs="Times New Roman"/>
          <w:bCs/>
          <w:sz w:val="27"/>
          <w:szCs w:val="27"/>
        </w:rPr>
        <w:t xml:space="preserve"> 12,695</w:t>
      </w:r>
      <w:r w:rsidR="006E2670" w:rsidRPr="005114D4">
        <w:rPr>
          <w:rFonts w:ascii="Times New Roman" w:eastAsia="Times New Roman" w:hAnsi="Times New Roman" w:cs="Times New Roman"/>
          <w:sz w:val="27"/>
          <w:szCs w:val="27"/>
        </w:rPr>
        <w:t xml:space="preserve"> jobs i</w:t>
      </w:r>
      <w:r w:rsidR="00D729B1" w:rsidRPr="005114D4">
        <w:rPr>
          <w:rFonts w:ascii="Times New Roman" w:eastAsia="Times New Roman" w:hAnsi="Times New Roman" w:cs="Times New Roman"/>
          <w:sz w:val="27"/>
          <w:szCs w:val="27"/>
        </w:rPr>
        <w:t>n the private sector</w:t>
      </w:r>
      <w:r w:rsidR="005A3C8B" w:rsidRPr="005114D4">
        <w:rPr>
          <w:rFonts w:ascii="Times New Roman" w:eastAsia="Times New Roman" w:hAnsi="Times New Roman" w:cs="Times New Roman"/>
          <w:sz w:val="27"/>
          <w:szCs w:val="27"/>
        </w:rPr>
        <w:t>.</w:t>
      </w:r>
      <w:r w:rsidR="00A96094" w:rsidRPr="005114D4">
        <w:rPr>
          <w:rFonts w:ascii="Times New Roman" w:eastAsia="Times New Roman" w:hAnsi="Times New Roman" w:cs="Times New Roman"/>
          <w:sz w:val="27"/>
          <w:szCs w:val="27"/>
        </w:rPr>
        <w:t xml:space="preserve">  </w:t>
      </w:r>
      <w:r w:rsidR="00B13F20" w:rsidRPr="005114D4">
        <w:rPr>
          <w:rFonts w:ascii="Times New Roman" w:eastAsia="Times New Roman" w:hAnsi="Times New Roman" w:cs="Times New Roman"/>
          <w:sz w:val="27"/>
          <w:szCs w:val="27"/>
        </w:rPr>
        <w:t>This</w:t>
      </w:r>
      <w:r w:rsidR="00382E0C" w:rsidRPr="005114D4">
        <w:rPr>
          <w:rFonts w:ascii="Times New Roman" w:eastAsia="Times New Roman" w:hAnsi="Times New Roman" w:cs="Times New Roman"/>
          <w:sz w:val="27"/>
          <w:szCs w:val="27"/>
        </w:rPr>
        <w:t xml:space="preserve"> net </w:t>
      </w:r>
      <w:r w:rsidR="0005259C" w:rsidRPr="005114D4">
        <w:rPr>
          <w:rFonts w:ascii="Times New Roman" w:eastAsia="Times New Roman" w:hAnsi="Times New Roman" w:cs="Times New Roman"/>
          <w:sz w:val="27"/>
          <w:szCs w:val="27"/>
        </w:rPr>
        <w:t>in</w:t>
      </w:r>
      <w:r w:rsidR="00382E0C" w:rsidRPr="005114D4">
        <w:rPr>
          <w:rFonts w:ascii="Times New Roman" w:eastAsia="Times New Roman" w:hAnsi="Times New Roman" w:cs="Times New Roman"/>
          <w:sz w:val="27"/>
          <w:szCs w:val="27"/>
        </w:rPr>
        <w:t>crease</w:t>
      </w:r>
      <w:r w:rsidR="00B6048B" w:rsidRPr="005114D4">
        <w:rPr>
          <w:rFonts w:ascii="Times New Roman" w:eastAsia="Times New Roman" w:hAnsi="Times New Roman" w:cs="Times New Roman"/>
          <w:sz w:val="27"/>
          <w:szCs w:val="27"/>
        </w:rPr>
        <w:t xml:space="preserve"> </w:t>
      </w:r>
      <w:r w:rsidR="00382E0C" w:rsidRPr="005114D4">
        <w:rPr>
          <w:rFonts w:ascii="Times New Roman" w:eastAsia="Times New Roman" w:hAnsi="Times New Roman" w:cs="Times New Roman"/>
          <w:sz w:val="27"/>
          <w:szCs w:val="27"/>
        </w:rPr>
        <w:t xml:space="preserve">follows a </w:t>
      </w:r>
      <w:r w:rsidR="005114D4" w:rsidRPr="005114D4">
        <w:rPr>
          <w:rFonts w:ascii="Times New Roman" w:eastAsia="Times New Roman" w:hAnsi="Times New Roman" w:cs="Times New Roman"/>
          <w:sz w:val="27"/>
          <w:szCs w:val="27"/>
        </w:rPr>
        <w:t>483</w:t>
      </w:r>
      <w:r w:rsidR="00382E0C" w:rsidRPr="005114D4">
        <w:rPr>
          <w:rFonts w:ascii="Times New Roman" w:eastAsia="Times New Roman" w:hAnsi="Times New Roman" w:cs="Times New Roman"/>
          <w:sz w:val="27"/>
          <w:szCs w:val="27"/>
        </w:rPr>
        <w:t xml:space="preserve"> net </w:t>
      </w:r>
      <w:r w:rsidR="005114D4" w:rsidRPr="005114D4">
        <w:rPr>
          <w:rFonts w:ascii="Times New Roman" w:eastAsia="Times New Roman" w:hAnsi="Times New Roman" w:cs="Times New Roman"/>
          <w:sz w:val="27"/>
          <w:szCs w:val="27"/>
        </w:rPr>
        <w:t>de</w:t>
      </w:r>
      <w:r w:rsidR="00382E0C" w:rsidRPr="005114D4">
        <w:rPr>
          <w:rFonts w:ascii="Times New Roman" w:eastAsia="Times New Roman" w:hAnsi="Times New Roman" w:cs="Times New Roman"/>
          <w:sz w:val="27"/>
          <w:szCs w:val="27"/>
        </w:rPr>
        <w:t>crease</w:t>
      </w:r>
      <w:r w:rsidR="00B6048B" w:rsidRPr="005114D4">
        <w:rPr>
          <w:rFonts w:ascii="Times New Roman" w:eastAsia="Times New Roman" w:hAnsi="Times New Roman" w:cs="Times New Roman"/>
          <w:sz w:val="27"/>
          <w:szCs w:val="27"/>
        </w:rPr>
        <w:t xml:space="preserve"> </w:t>
      </w:r>
      <w:r w:rsidR="00382E0C" w:rsidRPr="005114D4">
        <w:rPr>
          <w:rFonts w:ascii="Times New Roman" w:eastAsia="Times New Roman" w:hAnsi="Times New Roman" w:cs="Times New Roman"/>
          <w:sz w:val="27"/>
          <w:szCs w:val="27"/>
        </w:rPr>
        <w:t xml:space="preserve">during the </w:t>
      </w:r>
      <w:r w:rsidR="005114D4" w:rsidRPr="005114D4">
        <w:rPr>
          <w:rFonts w:ascii="Times New Roman" w:eastAsia="Times New Roman" w:hAnsi="Times New Roman" w:cs="Times New Roman"/>
          <w:sz w:val="27"/>
          <w:szCs w:val="27"/>
        </w:rPr>
        <w:t>fourth quarter of 2022</w:t>
      </w:r>
      <w:r w:rsidR="00A97C6E" w:rsidRPr="005114D4">
        <w:rPr>
          <w:rFonts w:ascii="Times New Roman" w:eastAsia="Times New Roman" w:hAnsi="Times New Roman" w:cs="Times New Roman"/>
          <w:sz w:val="27"/>
          <w:szCs w:val="27"/>
        </w:rPr>
        <w:t xml:space="preserve">.  </w:t>
      </w:r>
    </w:p>
    <w:p w14:paraId="62F44E3A" w14:textId="5591EA39" w:rsidR="00A97C6E" w:rsidRPr="002D1F82" w:rsidRDefault="00D729B1" w:rsidP="009C0C27">
      <w:pPr>
        <w:spacing w:after="0" w:line="240" w:lineRule="auto"/>
        <w:rPr>
          <w:rFonts w:ascii="Times New Roman" w:eastAsia="Times New Roman" w:hAnsi="Times New Roman" w:cs="Times New Roman"/>
          <w:sz w:val="28"/>
          <w:szCs w:val="28"/>
        </w:rPr>
      </w:pPr>
      <w:r w:rsidRPr="00C30793">
        <w:rPr>
          <w:rFonts w:ascii="Times New Roman" w:eastAsia="Times New Roman" w:hAnsi="Times New Roman" w:cs="Times New Roman"/>
          <w:sz w:val="27"/>
          <w:szCs w:val="27"/>
          <w:highlight w:val="yellow"/>
        </w:rPr>
        <w:br/>
      </w:r>
      <w:r w:rsidR="00A97C6E" w:rsidRPr="005114D4">
        <w:rPr>
          <w:rFonts w:ascii="Times New Roman" w:eastAsia="Times New Roman" w:hAnsi="Times New Roman" w:cs="Times New Roman"/>
          <w:sz w:val="27"/>
          <w:szCs w:val="27"/>
        </w:rPr>
        <w:t xml:space="preserve">Net employment change reached a low of </w:t>
      </w:r>
      <w:r w:rsidR="005114D4" w:rsidRPr="005114D4">
        <w:rPr>
          <w:rFonts w:ascii="Times New Roman" w:eastAsia="Times New Roman" w:hAnsi="Times New Roman" w:cs="Times New Roman"/>
          <w:sz w:val="27"/>
          <w:szCs w:val="27"/>
        </w:rPr>
        <w:t>-203,916</w:t>
      </w:r>
      <w:r w:rsidR="00A97C6E" w:rsidRPr="005114D4">
        <w:rPr>
          <w:rFonts w:ascii="Times New Roman" w:eastAsia="Times New Roman" w:hAnsi="Times New Roman" w:cs="Times New Roman"/>
          <w:sz w:val="27"/>
          <w:szCs w:val="27"/>
        </w:rPr>
        <w:t xml:space="preserve"> during the second quarter of 2020.  The combined net change for the </w:t>
      </w:r>
      <w:r w:rsidR="005114D4" w:rsidRPr="005114D4">
        <w:rPr>
          <w:rFonts w:ascii="Times New Roman" w:eastAsia="Times New Roman" w:hAnsi="Times New Roman" w:cs="Times New Roman"/>
          <w:sz w:val="27"/>
          <w:szCs w:val="27"/>
        </w:rPr>
        <w:t>eleven</w:t>
      </w:r>
      <w:r w:rsidR="009178BB" w:rsidRPr="005114D4">
        <w:rPr>
          <w:rFonts w:ascii="Times New Roman" w:eastAsia="Times New Roman" w:hAnsi="Times New Roman" w:cs="Times New Roman"/>
          <w:sz w:val="27"/>
          <w:szCs w:val="27"/>
        </w:rPr>
        <w:t xml:space="preserve"> </w:t>
      </w:r>
      <w:r w:rsidR="00A97C6E" w:rsidRPr="005114D4">
        <w:rPr>
          <w:rFonts w:ascii="Times New Roman" w:eastAsia="Times New Roman" w:hAnsi="Times New Roman" w:cs="Times New Roman"/>
          <w:sz w:val="27"/>
          <w:szCs w:val="27"/>
        </w:rPr>
        <w:t xml:space="preserve">quarters of subsequent data through the </w:t>
      </w:r>
      <w:r w:rsidR="005114D4" w:rsidRPr="005114D4">
        <w:rPr>
          <w:rFonts w:ascii="Times New Roman" w:eastAsia="Times New Roman" w:hAnsi="Times New Roman" w:cs="Times New Roman"/>
          <w:sz w:val="27"/>
          <w:szCs w:val="27"/>
        </w:rPr>
        <w:t>first quarter of 2023</w:t>
      </w:r>
      <w:r w:rsidR="00A97C6E" w:rsidRPr="005114D4">
        <w:rPr>
          <w:rFonts w:ascii="Times New Roman" w:eastAsia="Times New Roman" w:hAnsi="Times New Roman" w:cs="Times New Roman"/>
          <w:sz w:val="27"/>
          <w:szCs w:val="27"/>
        </w:rPr>
        <w:t xml:space="preserve"> is 1</w:t>
      </w:r>
      <w:r w:rsidR="005114D4" w:rsidRPr="005114D4">
        <w:rPr>
          <w:rFonts w:ascii="Times New Roman" w:eastAsia="Times New Roman" w:hAnsi="Times New Roman" w:cs="Times New Roman"/>
          <w:sz w:val="27"/>
          <w:szCs w:val="27"/>
        </w:rPr>
        <w:t>82,408</w:t>
      </w:r>
      <w:r w:rsidR="00A97C6E" w:rsidRPr="005114D4">
        <w:rPr>
          <w:rFonts w:ascii="Times New Roman" w:eastAsia="Times New Roman" w:hAnsi="Times New Roman" w:cs="Times New Roman"/>
          <w:sz w:val="27"/>
          <w:szCs w:val="27"/>
        </w:rPr>
        <w:t xml:space="preserve"> jobs.</w:t>
      </w:r>
      <w:r w:rsidR="00A97C6E" w:rsidRPr="002D1F82">
        <w:rPr>
          <w:rFonts w:ascii="Times New Roman" w:eastAsia="Times New Roman" w:hAnsi="Times New Roman" w:cs="Times New Roman"/>
          <w:sz w:val="27"/>
          <w:szCs w:val="27"/>
        </w:rPr>
        <w:br/>
      </w:r>
    </w:p>
    <w:p w14:paraId="7EBF90DF" w14:textId="77777777" w:rsidR="005114D4" w:rsidRDefault="005C3B39" w:rsidP="00974CC6">
      <w:pPr>
        <w:spacing w:after="0" w:line="240" w:lineRule="auto"/>
        <w:jc w:val="center"/>
        <w:rPr>
          <w:rFonts w:ascii="Times New Roman" w:eastAsia="Times New Roman" w:hAnsi="Times New Roman" w:cs="Times New Roman"/>
          <w:noProof/>
          <w:sz w:val="28"/>
          <w:szCs w:val="28"/>
        </w:rPr>
      </w:pPr>
      <w:r>
        <w:rPr>
          <w:noProof/>
        </w:rPr>
        <w:drawing>
          <wp:inline distT="0" distB="0" distL="0" distR="0" wp14:anchorId="13E4E5F4" wp14:editId="73C4D76B">
            <wp:extent cx="4980137" cy="3364302"/>
            <wp:effectExtent l="0" t="0" r="11430" b="7620"/>
            <wp:docPr id="380353665"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02FA50" w14:textId="1DDB3CFE" w:rsidR="00403826" w:rsidRPr="002D1F82" w:rsidRDefault="00D83E56" w:rsidP="00974CC6">
      <w:pPr>
        <w:spacing w:after="0" w:line="240" w:lineRule="auto"/>
        <w:jc w:val="center"/>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lastRenderedPageBreak/>
        <w:br/>
      </w:r>
    </w:p>
    <w:p w14:paraId="7B49AFB7" w14:textId="5B1E7C87" w:rsidR="00403826" w:rsidRPr="005114D4" w:rsidRDefault="00403826" w:rsidP="00403826">
      <w:pPr>
        <w:rPr>
          <w:rFonts w:ascii="Times New Roman" w:eastAsia="Times New Roman" w:hAnsi="Times New Roman" w:cs="Times New Roman"/>
          <w:sz w:val="30"/>
          <w:szCs w:val="30"/>
        </w:rPr>
      </w:pPr>
      <w:r w:rsidRPr="002D1F82">
        <w:rPr>
          <w:rFonts w:ascii="Times New Roman" w:eastAsia="Times New Roman" w:hAnsi="Times New Roman" w:cs="Times New Roman"/>
          <w:sz w:val="28"/>
          <w:szCs w:val="28"/>
        </w:rPr>
        <w:t xml:space="preserve">The </w:t>
      </w:r>
      <w:r w:rsidRPr="005114D4">
        <w:rPr>
          <w:rFonts w:ascii="Times New Roman" w:eastAsia="Times New Roman" w:hAnsi="Times New Roman" w:cs="Times New Roman"/>
          <w:sz w:val="28"/>
          <w:szCs w:val="28"/>
        </w:rPr>
        <w:t xml:space="preserve">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5114D4"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gains and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losses at the firm level by employer size class. </w:t>
      </w:r>
    </w:p>
    <w:p w14:paraId="3EBD595F" w14:textId="5909C0F7" w:rsidR="00403826" w:rsidRPr="005114D4"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30"/>
          <w:szCs w:val="30"/>
        </w:rPr>
        <w:br/>
      </w:r>
      <w:r w:rsidRPr="005114D4">
        <w:rPr>
          <w:rFonts w:ascii="Times New Roman" w:eastAsia="Times New Roman" w:hAnsi="Times New Roman" w:cs="Times New Roman"/>
          <w:sz w:val="28"/>
          <w:szCs w:val="28"/>
        </w:rPr>
        <w:t xml:space="preserve">Gross job gains at </w:t>
      </w:r>
      <w:r w:rsidRPr="005114D4">
        <w:rPr>
          <w:rFonts w:ascii="Times New Roman" w:eastAsia="Times New Roman" w:hAnsi="Times New Roman" w:cs="Times New Roman"/>
          <w:b/>
          <w:sz w:val="28"/>
          <w:szCs w:val="28"/>
        </w:rPr>
        <w:t>expanding</w:t>
      </w:r>
      <w:r w:rsidR="003B059E" w:rsidRPr="005114D4">
        <w:rPr>
          <w:rFonts w:ascii="Times New Roman" w:eastAsia="Times New Roman" w:hAnsi="Times New Roman" w:cs="Times New Roman"/>
          <w:sz w:val="28"/>
          <w:szCs w:val="28"/>
        </w:rPr>
        <w:t xml:space="preserve"> establishments totaled </w:t>
      </w:r>
      <w:r w:rsidR="00FC396B" w:rsidRPr="005114D4">
        <w:rPr>
          <w:rFonts w:ascii="Times New Roman" w:eastAsia="Times New Roman" w:hAnsi="Times New Roman" w:cs="Times New Roman"/>
          <w:sz w:val="28"/>
          <w:szCs w:val="28"/>
        </w:rPr>
        <w:t>6</w:t>
      </w:r>
      <w:r w:rsidR="005114D4" w:rsidRPr="005114D4">
        <w:rPr>
          <w:rFonts w:ascii="Times New Roman" w:eastAsia="Times New Roman" w:hAnsi="Times New Roman" w:cs="Times New Roman"/>
          <w:sz w:val="28"/>
          <w:szCs w:val="28"/>
        </w:rPr>
        <w:t>9,509</w:t>
      </w:r>
      <w:r w:rsidR="0027263E" w:rsidRPr="005114D4">
        <w:rPr>
          <w:rFonts w:ascii="Times New Roman" w:eastAsia="Times New Roman" w:hAnsi="Times New Roman" w:cs="Times New Roman"/>
          <w:sz w:val="28"/>
          <w:szCs w:val="28"/>
        </w:rPr>
        <w:t xml:space="preserve"> in the</w:t>
      </w:r>
      <w:r w:rsidR="00142F84"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first</w:t>
      </w:r>
      <w:r w:rsidR="00381F37" w:rsidRPr="005114D4">
        <w:rPr>
          <w:rFonts w:ascii="Times New Roman" w:eastAsia="Times New Roman" w:hAnsi="Times New Roman" w:cs="Times New Roman"/>
          <w:sz w:val="28"/>
          <w:szCs w:val="28"/>
        </w:rPr>
        <w:t xml:space="preserve"> quarter</w:t>
      </w:r>
      <w:r w:rsidR="00BD101F" w:rsidRPr="005114D4">
        <w:rPr>
          <w:rFonts w:ascii="Times New Roman" w:eastAsia="Times New Roman" w:hAnsi="Times New Roman" w:cs="Times New Roman"/>
          <w:sz w:val="28"/>
          <w:szCs w:val="28"/>
        </w:rPr>
        <w:t xml:space="preserve"> of 202</w:t>
      </w:r>
      <w:r w:rsidR="005114D4" w:rsidRPr="005114D4">
        <w:rPr>
          <w:rFonts w:ascii="Times New Roman" w:eastAsia="Times New Roman" w:hAnsi="Times New Roman" w:cs="Times New Roman"/>
          <w:sz w:val="28"/>
          <w:szCs w:val="28"/>
        </w:rPr>
        <w:t>3</w:t>
      </w:r>
      <w:r w:rsidR="002C5777" w:rsidRPr="005114D4">
        <w:rPr>
          <w:rFonts w:ascii="Times New Roman" w:eastAsia="Times New Roman" w:hAnsi="Times New Roman" w:cs="Times New Roman"/>
          <w:sz w:val="28"/>
          <w:szCs w:val="28"/>
        </w:rPr>
        <w:t xml:space="preserve">, </w:t>
      </w:r>
      <w:r w:rsidR="00E23735" w:rsidRPr="005114D4">
        <w:rPr>
          <w:rFonts w:ascii="Times New Roman" w:eastAsia="Times New Roman" w:hAnsi="Times New Roman" w:cs="Times New Roman"/>
          <w:sz w:val="28"/>
          <w:szCs w:val="28"/>
        </w:rPr>
        <w:t>a</w:t>
      </w:r>
      <w:r w:rsidR="005114D4" w:rsidRPr="005114D4">
        <w:rPr>
          <w:rFonts w:ascii="Times New Roman" w:eastAsia="Times New Roman" w:hAnsi="Times New Roman" w:cs="Times New Roman"/>
          <w:sz w:val="28"/>
          <w:szCs w:val="28"/>
        </w:rPr>
        <w:t>n in</w:t>
      </w:r>
      <w:r w:rsidRPr="005114D4">
        <w:rPr>
          <w:rFonts w:ascii="Times New Roman" w:eastAsia="Times New Roman" w:hAnsi="Times New Roman" w:cs="Times New Roman"/>
          <w:sz w:val="28"/>
          <w:szCs w:val="28"/>
        </w:rPr>
        <w:t>crease of</w:t>
      </w:r>
      <w:r w:rsidR="002C5777"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2,604</w:t>
      </w:r>
      <w:r w:rsidR="00714CDA" w:rsidRPr="005114D4">
        <w:rPr>
          <w:rFonts w:ascii="Times New Roman" w:eastAsia="Times New Roman" w:hAnsi="Times New Roman" w:cs="Times New Roman"/>
          <w:sz w:val="28"/>
          <w:szCs w:val="28"/>
        </w:rPr>
        <w:t xml:space="preserve"> </w:t>
      </w:r>
      <w:r w:rsidRPr="005114D4">
        <w:rPr>
          <w:rFonts w:ascii="Times New Roman" w:eastAsia="Times New Roman" w:hAnsi="Times New Roman" w:cs="Times New Roman"/>
          <w:sz w:val="28"/>
          <w:szCs w:val="28"/>
        </w:rPr>
        <w:t xml:space="preserve">from the previous quarter.  </w:t>
      </w:r>
    </w:p>
    <w:p w14:paraId="011A6270" w14:textId="77777777" w:rsidR="00403826" w:rsidRPr="005114D4" w:rsidRDefault="00403826" w:rsidP="00403826">
      <w:pPr>
        <w:spacing w:after="0" w:line="240" w:lineRule="auto"/>
        <w:rPr>
          <w:rFonts w:ascii="Times New Roman" w:eastAsia="Times New Roman" w:hAnsi="Times New Roman" w:cs="Times New Roman"/>
          <w:sz w:val="30"/>
          <w:szCs w:val="30"/>
        </w:rPr>
      </w:pPr>
    </w:p>
    <w:p w14:paraId="6C3F1CC1" w14:textId="4385AA4F" w:rsidR="00403826" w:rsidRPr="002D1F82"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b/>
          <w:sz w:val="28"/>
          <w:szCs w:val="28"/>
        </w:rPr>
        <w:t xml:space="preserve">Opening </w:t>
      </w:r>
      <w:r w:rsidRPr="005114D4">
        <w:rPr>
          <w:rFonts w:ascii="Times New Roman" w:eastAsia="Times New Roman" w:hAnsi="Times New Roman" w:cs="Times New Roman"/>
          <w:sz w:val="28"/>
          <w:szCs w:val="28"/>
        </w:rPr>
        <w:t>establishments accounted for</w:t>
      </w:r>
      <w:r w:rsidR="00B6048B" w:rsidRPr="005114D4">
        <w:rPr>
          <w:rFonts w:ascii="Times New Roman" w:eastAsia="Times New Roman" w:hAnsi="Times New Roman" w:cs="Times New Roman"/>
          <w:sz w:val="28"/>
          <w:szCs w:val="28"/>
        </w:rPr>
        <w:t xml:space="preserve"> </w:t>
      </w:r>
      <w:r w:rsidR="00AD2AFE" w:rsidRPr="005114D4">
        <w:rPr>
          <w:rFonts w:ascii="Times New Roman" w:eastAsia="Times New Roman" w:hAnsi="Times New Roman" w:cs="Times New Roman"/>
          <w:sz w:val="28"/>
          <w:szCs w:val="28"/>
        </w:rPr>
        <w:t>1</w:t>
      </w:r>
      <w:r w:rsidR="005114D4" w:rsidRPr="005114D4">
        <w:rPr>
          <w:rFonts w:ascii="Times New Roman" w:eastAsia="Times New Roman" w:hAnsi="Times New Roman" w:cs="Times New Roman"/>
          <w:sz w:val="28"/>
          <w:szCs w:val="28"/>
        </w:rPr>
        <w:t>8,240</w:t>
      </w:r>
      <w:r w:rsidR="00FC14A0" w:rsidRPr="005114D4">
        <w:rPr>
          <w:rFonts w:ascii="Times New Roman" w:eastAsia="Times New Roman" w:hAnsi="Times New Roman" w:cs="Times New Roman"/>
          <w:sz w:val="28"/>
          <w:szCs w:val="28"/>
        </w:rPr>
        <w:t xml:space="preserve"> </w:t>
      </w:r>
      <w:r w:rsidRPr="005114D4">
        <w:rPr>
          <w:rFonts w:ascii="Times New Roman" w:eastAsia="Times New Roman" w:hAnsi="Times New Roman" w:cs="Times New Roman"/>
          <w:sz w:val="28"/>
          <w:szCs w:val="28"/>
        </w:rPr>
        <w:t xml:space="preserve">jobs gained in the </w:t>
      </w:r>
      <w:r w:rsidR="00381F37" w:rsidRPr="005114D4">
        <w:rPr>
          <w:rFonts w:ascii="Times New Roman" w:eastAsia="Times New Roman" w:hAnsi="Times New Roman" w:cs="Times New Roman"/>
          <w:sz w:val="28"/>
          <w:szCs w:val="28"/>
        </w:rPr>
        <w:t>f</w:t>
      </w:r>
      <w:r w:rsidR="005114D4" w:rsidRPr="005114D4">
        <w:rPr>
          <w:rFonts w:ascii="Times New Roman" w:eastAsia="Times New Roman" w:hAnsi="Times New Roman" w:cs="Times New Roman"/>
          <w:sz w:val="28"/>
          <w:szCs w:val="28"/>
        </w:rPr>
        <w:t>irst</w:t>
      </w:r>
      <w:r w:rsidR="00381F37" w:rsidRPr="005114D4">
        <w:rPr>
          <w:rFonts w:ascii="Times New Roman" w:eastAsia="Times New Roman" w:hAnsi="Times New Roman" w:cs="Times New Roman"/>
          <w:sz w:val="28"/>
          <w:szCs w:val="28"/>
        </w:rPr>
        <w:t xml:space="preserve"> quarter</w:t>
      </w:r>
      <w:r w:rsidR="00BD101F" w:rsidRPr="005114D4">
        <w:rPr>
          <w:rFonts w:ascii="Times New Roman" w:eastAsia="Times New Roman" w:hAnsi="Times New Roman" w:cs="Times New Roman"/>
          <w:sz w:val="28"/>
          <w:szCs w:val="28"/>
        </w:rPr>
        <w:t xml:space="preserve"> of 202</w:t>
      </w:r>
      <w:r w:rsidR="005114D4" w:rsidRPr="005114D4">
        <w:rPr>
          <w:rFonts w:ascii="Times New Roman" w:eastAsia="Times New Roman" w:hAnsi="Times New Roman" w:cs="Times New Roman"/>
          <w:sz w:val="28"/>
          <w:szCs w:val="28"/>
        </w:rPr>
        <w:t>3</w:t>
      </w:r>
      <w:r w:rsidRPr="005114D4">
        <w:rPr>
          <w:rFonts w:ascii="Times New Roman" w:eastAsia="Times New Roman" w:hAnsi="Times New Roman" w:cs="Times New Roman"/>
          <w:sz w:val="28"/>
          <w:szCs w:val="28"/>
        </w:rPr>
        <w:t>, a</w:t>
      </w:r>
      <w:r w:rsidR="00FC396B" w:rsidRPr="005114D4">
        <w:rPr>
          <w:rFonts w:ascii="Times New Roman" w:eastAsia="Times New Roman" w:hAnsi="Times New Roman" w:cs="Times New Roman"/>
          <w:sz w:val="28"/>
          <w:szCs w:val="28"/>
        </w:rPr>
        <w:t>n</w:t>
      </w:r>
      <w:r w:rsidR="005E53AB" w:rsidRPr="005114D4">
        <w:rPr>
          <w:rFonts w:ascii="Times New Roman" w:eastAsia="Times New Roman" w:hAnsi="Times New Roman" w:cs="Times New Roman"/>
          <w:sz w:val="28"/>
          <w:szCs w:val="28"/>
        </w:rPr>
        <w:t xml:space="preserve"> </w:t>
      </w:r>
      <w:r w:rsidR="00FC396B" w:rsidRPr="005114D4">
        <w:rPr>
          <w:rFonts w:ascii="Times New Roman" w:eastAsia="Times New Roman" w:hAnsi="Times New Roman" w:cs="Times New Roman"/>
          <w:sz w:val="28"/>
          <w:szCs w:val="28"/>
        </w:rPr>
        <w:t>in</w:t>
      </w:r>
      <w:r w:rsidR="005E53AB" w:rsidRPr="005114D4">
        <w:rPr>
          <w:rFonts w:ascii="Times New Roman" w:eastAsia="Times New Roman" w:hAnsi="Times New Roman" w:cs="Times New Roman"/>
          <w:sz w:val="28"/>
          <w:szCs w:val="28"/>
        </w:rPr>
        <w:t xml:space="preserve">crease of </w:t>
      </w:r>
      <w:r w:rsidR="005114D4" w:rsidRPr="005114D4">
        <w:rPr>
          <w:rFonts w:ascii="Times New Roman" w:eastAsia="Times New Roman" w:hAnsi="Times New Roman" w:cs="Times New Roman"/>
          <w:sz w:val="28"/>
          <w:szCs w:val="28"/>
        </w:rPr>
        <w:t>749</w:t>
      </w:r>
      <w:r w:rsidR="00CC47A4" w:rsidRPr="005114D4">
        <w:rPr>
          <w:rFonts w:ascii="Times New Roman" w:eastAsia="Times New Roman" w:hAnsi="Times New Roman" w:cs="Times New Roman"/>
          <w:sz w:val="28"/>
          <w:szCs w:val="28"/>
        </w:rPr>
        <w:t xml:space="preserve"> </w:t>
      </w:r>
      <w:r w:rsidRPr="005114D4">
        <w:rPr>
          <w:rFonts w:ascii="Times New Roman" w:eastAsia="Times New Roman" w:hAnsi="Times New Roman" w:cs="Times New Roman"/>
          <w:sz w:val="28"/>
          <w:szCs w:val="28"/>
        </w:rPr>
        <w:t>jobs from the previous quarter</w:t>
      </w:r>
      <w:r w:rsidRPr="002D1F82">
        <w:rPr>
          <w:rFonts w:ascii="Times New Roman" w:eastAsia="Times New Roman" w:hAnsi="Times New Roman" w:cs="Times New Roman"/>
          <w:sz w:val="28"/>
          <w:szCs w:val="28"/>
        </w:rPr>
        <w:t xml:space="preserve">. </w:t>
      </w:r>
    </w:p>
    <w:p w14:paraId="4C3F0F8D"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1D4DB85A" w14:textId="0BAD1B58" w:rsidR="00434063" w:rsidRPr="002D1F82" w:rsidRDefault="00C30793"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08E39106" wp14:editId="086D778B">
            <wp:extent cx="5046453" cy="3490302"/>
            <wp:effectExtent l="0" t="0" r="1905" b="0"/>
            <wp:docPr id="1387171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595" cy="3502158"/>
                    </a:xfrm>
                    <a:prstGeom prst="rect">
                      <a:avLst/>
                    </a:prstGeom>
                    <a:noFill/>
                  </pic:spPr>
                </pic:pic>
              </a:graphicData>
            </a:graphic>
          </wp:inline>
        </w:drawing>
      </w:r>
    </w:p>
    <w:p w14:paraId="49A6089F" w14:textId="77777777" w:rsidR="009B5C2E" w:rsidRPr="002D1F82" w:rsidRDefault="009B5C2E" w:rsidP="002D73F8">
      <w:pPr>
        <w:spacing w:after="0" w:line="240" w:lineRule="auto"/>
        <w:rPr>
          <w:rFonts w:ascii="Times New Roman" w:eastAsia="Times New Roman" w:hAnsi="Times New Roman" w:cs="Times New Roman"/>
          <w:sz w:val="28"/>
          <w:szCs w:val="28"/>
        </w:rPr>
      </w:pPr>
    </w:p>
    <w:p w14:paraId="01A590E2" w14:textId="2D079D7A" w:rsidR="002D73F8" w:rsidRPr="00C30793" w:rsidRDefault="007A7078" w:rsidP="002D73F8">
      <w:pPr>
        <w:spacing w:after="0" w:line="240" w:lineRule="auto"/>
        <w:rPr>
          <w:rFonts w:ascii="Times New Roman" w:eastAsia="Times New Roman" w:hAnsi="Times New Roman" w:cs="Times New Roman"/>
          <w:sz w:val="28"/>
          <w:szCs w:val="28"/>
          <w:highlight w:val="yellow"/>
        </w:rPr>
      </w:pPr>
      <w:r w:rsidRPr="002D1F82">
        <w:rPr>
          <w:rFonts w:ascii="Times New Roman" w:eastAsia="Times New Roman" w:hAnsi="Times New Roman" w:cs="Times New Roman"/>
          <w:b/>
          <w:sz w:val="28"/>
          <w:szCs w:val="28"/>
        </w:rPr>
        <w:lastRenderedPageBreak/>
        <w:t>Contracting</w:t>
      </w:r>
      <w:r w:rsidR="002D73F8" w:rsidRPr="002D1F82">
        <w:rPr>
          <w:rFonts w:ascii="Times New Roman" w:eastAsia="Times New Roman" w:hAnsi="Times New Roman" w:cs="Times New Roman"/>
          <w:sz w:val="28"/>
          <w:szCs w:val="28"/>
        </w:rPr>
        <w:t xml:space="preserve"> </w:t>
      </w:r>
      <w:r w:rsidR="003B059E" w:rsidRPr="005114D4">
        <w:rPr>
          <w:rFonts w:ascii="Times New Roman" w:eastAsia="Times New Roman" w:hAnsi="Times New Roman" w:cs="Times New Roman"/>
          <w:sz w:val="28"/>
          <w:szCs w:val="28"/>
        </w:rPr>
        <w:t>establishments lost</w:t>
      </w:r>
      <w:r w:rsidR="00B6048B"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59,747</w:t>
      </w:r>
      <w:r w:rsidR="0021153A" w:rsidRPr="005114D4">
        <w:rPr>
          <w:rFonts w:ascii="Times New Roman" w:eastAsia="Times New Roman" w:hAnsi="Times New Roman" w:cs="Times New Roman"/>
          <w:sz w:val="28"/>
          <w:szCs w:val="28"/>
        </w:rPr>
        <w:t xml:space="preserve"> </w:t>
      </w:r>
      <w:r w:rsidR="002D73F8" w:rsidRPr="005114D4">
        <w:rPr>
          <w:rFonts w:ascii="Times New Roman" w:eastAsia="Times New Roman" w:hAnsi="Times New Roman" w:cs="Times New Roman"/>
          <w:sz w:val="28"/>
          <w:szCs w:val="28"/>
        </w:rPr>
        <w:t>jobs in the</w:t>
      </w:r>
      <w:r w:rsidR="00724E27"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first quarter of 2023</w:t>
      </w:r>
      <w:r w:rsidR="00B6048B" w:rsidRPr="005114D4">
        <w:rPr>
          <w:rFonts w:ascii="Times New Roman" w:eastAsia="Times New Roman" w:hAnsi="Times New Roman" w:cs="Times New Roman"/>
          <w:sz w:val="28"/>
          <w:szCs w:val="28"/>
        </w:rPr>
        <w:t xml:space="preserve">, </w:t>
      </w:r>
      <w:r w:rsidR="00BB232A" w:rsidRPr="005114D4">
        <w:rPr>
          <w:rFonts w:ascii="Times New Roman" w:eastAsia="Times New Roman" w:hAnsi="Times New Roman" w:cs="Times New Roman"/>
          <w:sz w:val="28"/>
          <w:szCs w:val="28"/>
        </w:rPr>
        <w:t>a</w:t>
      </w:r>
      <w:r w:rsidR="005E53AB" w:rsidRPr="005114D4">
        <w:rPr>
          <w:rFonts w:ascii="Times New Roman" w:eastAsia="Times New Roman" w:hAnsi="Times New Roman" w:cs="Times New Roman"/>
          <w:sz w:val="28"/>
          <w:szCs w:val="28"/>
        </w:rPr>
        <w:t xml:space="preserve"> de</w:t>
      </w:r>
      <w:r w:rsidR="00BB232A" w:rsidRPr="005114D4">
        <w:rPr>
          <w:rFonts w:ascii="Times New Roman" w:eastAsia="Times New Roman" w:hAnsi="Times New Roman" w:cs="Times New Roman"/>
          <w:sz w:val="28"/>
          <w:szCs w:val="28"/>
        </w:rPr>
        <w:t xml:space="preserve">crease of </w:t>
      </w:r>
      <w:r w:rsidR="005114D4">
        <w:rPr>
          <w:rFonts w:ascii="Times New Roman" w:eastAsia="Times New Roman" w:hAnsi="Times New Roman" w:cs="Times New Roman"/>
          <w:sz w:val="28"/>
          <w:szCs w:val="28"/>
        </w:rPr>
        <w:t>6,229</w:t>
      </w:r>
      <w:r w:rsidR="00B6048B" w:rsidRPr="005114D4">
        <w:rPr>
          <w:rFonts w:ascii="Times New Roman" w:eastAsia="Times New Roman" w:hAnsi="Times New Roman" w:cs="Times New Roman"/>
          <w:sz w:val="28"/>
          <w:szCs w:val="28"/>
        </w:rPr>
        <w:t xml:space="preserve"> from the prior quarte</w:t>
      </w:r>
      <w:r w:rsidR="00C42F53" w:rsidRPr="005114D4">
        <w:rPr>
          <w:rFonts w:ascii="Times New Roman" w:eastAsia="Times New Roman" w:hAnsi="Times New Roman" w:cs="Times New Roman"/>
          <w:sz w:val="28"/>
          <w:szCs w:val="28"/>
        </w:rPr>
        <w:t>r</w:t>
      </w:r>
      <w:r w:rsidR="00724E27" w:rsidRPr="005114D4">
        <w:rPr>
          <w:rFonts w:ascii="Times New Roman" w:eastAsia="Times New Roman" w:hAnsi="Times New Roman" w:cs="Times New Roman"/>
          <w:sz w:val="28"/>
          <w:szCs w:val="28"/>
        </w:rPr>
        <w:t>.</w:t>
      </w:r>
    </w:p>
    <w:p w14:paraId="47B3EEC4" w14:textId="349B1132" w:rsidR="002D73F8" w:rsidRPr="00C30793" w:rsidRDefault="002D73F8" w:rsidP="002D73F8">
      <w:pPr>
        <w:spacing w:after="0" w:line="240" w:lineRule="auto"/>
        <w:rPr>
          <w:rFonts w:ascii="Times New Roman" w:eastAsia="Times New Roman" w:hAnsi="Times New Roman" w:cs="Times New Roman"/>
          <w:sz w:val="30"/>
          <w:szCs w:val="30"/>
          <w:highlight w:val="yellow"/>
        </w:rPr>
      </w:pPr>
    </w:p>
    <w:p w14:paraId="7E114972" w14:textId="452F0DB4" w:rsidR="0015361E" w:rsidRPr="002D1F82" w:rsidRDefault="004B2C9F" w:rsidP="009A0DC4">
      <w:pPr>
        <w:spacing w:after="0" w:line="240" w:lineRule="auto"/>
        <w:rPr>
          <w:rFonts w:ascii="Times New Roman" w:eastAsia="Times New Roman" w:hAnsi="Times New Roman" w:cs="Times New Roman"/>
          <w:sz w:val="30"/>
          <w:szCs w:val="30"/>
        </w:rPr>
      </w:pPr>
      <w:r w:rsidRPr="005114D4">
        <w:rPr>
          <w:rFonts w:ascii="Times New Roman" w:eastAsia="Times New Roman" w:hAnsi="Times New Roman" w:cs="Times New Roman"/>
          <w:sz w:val="28"/>
          <w:szCs w:val="28"/>
        </w:rPr>
        <w:t xml:space="preserve">In the </w:t>
      </w:r>
      <w:r w:rsidR="005114D4" w:rsidRPr="005114D4">
        <w:rPr>
          <w:rFonts w:ascii="Times New Roman" w:eastAsia="Times New Roman" w:hAnsi="Times New Roman" w:cs="Times New Roman"/>
          <w:sz w:val="28"/>
          <w:szCs w:val="28"/>
        </w:rPr>
        <w:t>first quarter of 2023</w:t>
      </w:r>
      <w:r w:rsidR="009A0DC4" w:rsidRPr="005114D4">
        <w:rPr>
          <w:rFonts w:ascii="Times New Roman" w:eastAsia="Times New Roman" w:hAnsi="Times New Roman" w:cs="Times New Roman"/>
          <w:sz w:val="28"/>
          <w:szCs w:val="28"/>
        </w:rPr>
        <w:t xml:space="preserve">, </w:t>
      </w:r>
      <w:r w:rsidR="009A0DC4" w:rsidRPr="005114D4">
        <w:rPr>
          <w:rFonts w:ascii="Times New Roman" w:eastAsia="Times New Roman" w:hAnsi="Times New Roman" w:cs="Times New Roman"/>
          <w:b/>
          <w:sz w:val="28"/>
          <w:szCs w:val="28"/>
        </w:rPr>
        <w:t>closing</w:t>
      </w:r>
      <w:r w:rsidR="009A0DC4" w:rsidRPr="005114D4">
        <w:rPr>
          <w:rFonts w:ascii="Times New Roman" w:eastAsia="Times New Roman" w:hAnsi="Times New Roman" w:cs="Times New Roman"/>
          <w:sz w:val="28"/>
          <w:szCs w:val="28"/>
        </w:rPr>
        <w:t xml:space="preserve"> establishments </w:t>
      </w:r>
      <w:r w:rsidR="00A82C62" w:rsidRPr="005114D4">
        <w:rPr>
          <w:rFonts w:ascii="Times New Roman" w:eastAsia="Times New Roman" w:hAnsi="Times New Roman" w:cs="Times New Roman"/>
          <w:sz w:val="28"/>
          <w:szCs w:val="28"/>
        </w:rPr>
        <w:t>lost</w:t>
      </w:r>
      <w:r w:rsidR="0040001C"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15,307</w:t>
      </w:r>
      <w:r w:rsidR="00B6048B" w:rsidRPr="005114D4">
        <w:rPr>
          <w:rFonts w:ascii="Times New Roman" w:eastAsia="Times New Roman" w:hAnsi="Times New Roman" w:cs="Times New Roman"/>
          <w:sz w:val="28"/>
          <w:szCs w:val="28"/>
        </w:rPr>
        <w:t xml:space="preserve"> </w:t>
      </w:r>
      <w:r w:rsidR="009A0DC4" w:rsidRPr="005114D4">
        <w:rPr>
          <w:rFonts w:ascii="Times New Roman" w:eastAsia="Times New Roman" w:hAnsi="Times New Roman" w:cs="Times New Roman"/>
          <w:sz w:val="28"/>
          <w:szCs w:val="28"/>
        </w:rPr>
        <w:t>jobs</w:t>
      </w:r>
      <w:r w:rsidR="00B6048B" w:rsidRPr="005114D4">
        <w:rPr>
          <w:rFonts w:ascii="Times New Roman" w:eastAsia="Times New Roman" w:hAnsi="Times New Roman" w:cs="Times New Roman"/>
          <w:sz w:val="28"/>
          <w:szCs w:val="28"/>
        </w:rPr>
        <w:t xml:space="preserve">, </w:t>
      </w:r>
      <w:r w:rsidR="00BB232A" w:rsidRPr="005114D4">
        <w:rPr>
          <w:rFonts w:ascii="Times New Roman" w:eastAsia="Times New Roman" w:hAnsi="Times New Roman" w:cs="Times New Roman"/>
          <w:sz w:val="28"/>
          <w:szCs w:val="28"/>
        </w:rPr>
        <w:t>a</w:t>
      </w:r>
      <w:r w:rsidR="005114D4">
        <w:rPr>
          <w:rFonts w:ascii="Times New Roman" w:eastAsia="Times New Roman" w:hAnsi="Times New Roman" w:cs="Times New Roman"/>
          <w:sz w:val="28"/>
          <w:szCs w:val="28"/>
        </w:rPr>
        <w:t xml:space="preserve"> de</w:t>
      </w:r>
      <w:r w:rsidR="00B6048B" w:rsidRPr="005114D4">
        <w:rPr>
          <w:rFonts w:ascii="Times New Roman" w:eastAsia="Times New Roman" w:hAnsi="Times New Roman" w:cs="Times New Roman"/>
          <w:sz w:val="28"/>
          <w:szCs w:val="28"/>
        </w:rPr>
        <w:t>crease of</w:t>
      </w:r>
      <w:r w:rsidR="005E53AB"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3,596</w:t>
      </w:r>
      <w:r w:rsidR="00AD2AFE" w:rsidRPr="005114D4">
        <w:rPr>
          <w:rFonts w:ascii="Times New Roman" w:eastAsia="Times New Roman" w:hAnsi="Times New Roman" w:cs="Times New Roman"/>
          <w:sz w:val="28"/>
          <w:szCs w:val="28"/>
        </w:rPr>
        <w:t xml:space="preserve"> </w:t>
      </w:r>
      <w:r w:rsidR="009A0DC4" w:rsidRPr="005114D4">
        <w:rPr>
          <w:rFonts w:ascii="Times New Roman" w:eastAsia="Times New Roman" w:hAnsi="Times New Roman" w:cs="Times New Roman"/>
          <w:sz w:val="28"/>
          <w:szCs w:val="28"/>
        </w:rPr>
        <w:t>from the previous quarter.</w:t>
      </w:r>
      <w:r w:rsidR="00B2199E" w:rsidRPr="005114D4">
        <w:rPr>
          <w:rFonts w:ascii="Times New Roman" w:eastAsia="Times New Roman" w:hAnsi="Times New Roman" w:cs="Times New Roman"/>
          <w:sz w:val="28"/>
          <w:szCs w:val="28"/>
        </w:rPr>
        <w:t xml:space="preserve">  Chart 3 shows the relationship between opening and closing-derived job change.</w:t>
      </w:r>
      <w:r w:rsidR="005F5F10" w:rsidRPr="005114D4">
        <w:rPr>
          <w:rFonts w:ascii="Times New Roman" w:eastAsia="Times New Roman" w:hAnsi="Times New Roman" w:cs="Times New Roman"/>
          <w:sz w:val="28"/>
          <w:szCs w:val="28"/>
        </w:rPr>
        <w:t xml:space="preserve">  </w:t>
      </w:r>
      <w:r w:rsidR="00360AA3" w:rsidRPr="005114D4">
        <w:rPr>
          <w:rFonts w:ascii="Times New Roman" w:eastAsia="Times New Roman" w:hAnsi="Times New Roman" w:cs="Times New Roman"/>
          <w:sz w:val="28"/>
          <w:szCs w:val="28"/>
        </w:rPr>
        <w:t>Beginning in 2019, opening and closing</w:t>
      </w:r>
      <w:r w:rsidR="003E0438" w:rsidRPr="005114D4">
        <w:rPr>
          <w:rFonts w:ascii="Times New Roman" w:eastAsia="Times New Roman" w:hAnsi="Times New Roman" w:cs="Times New Roman"/>
          <w:sz w:val="28"/>
          <w:szCs w:val="28"/>
        </w:rPr>
        <w:t>-derived job change was</w:t>
      </w:r>
      <w:r w:rsidR="00360AA3" w:rsidRPr="005114D4">
        <w:rPr>
          <w:rFonts w:ascii="Times New Roman" w:eastAsia="Times New Roman" w:hAnsi="Times New Roman" w:cs="Times New Roman"/>
          <w:sz w:val="28"/>
          <w:szCs w:val="28"/>
        </w:rPr>
        <w:t xml:space="preserve"> above</w:t>
      </w:r>
      <w:r w:rsidR="003E0438" w:rsidRPr="005114D4">
        <w:rPr>
          <w:rFonts w:ascii="Times New Roman" w:eastAsia="Times New Roman" w:hAnsi="Times New Roman" w:cs="Times New Roman"/>
          <w:sz w:val="28"/>
          <w:szCs w:val="28"/>
        </w:rPr>
        <w:t xml:space="preserve"> </w:t>
      </w:r>
      <w:r w:rsidR="00360AA3" w:rsidRPr="005114D4">
        <w:rPr>
          <w:rFonts w:ascii="Times New Roman" w:eastAsia="Times New Roman" w:hAnsi="Times New Roman" w:cs="Times New Roman"/>
          <w:sz w:val="28"/>
          <w:szCs w:val="28"/>
        </w:rPr>
        <w:t>2011-18 levels</w:t>
      </w:r>
      <w:r w:rsidR="005E53AB" w:rsidRPr="005114D4">
        <w:rPr>
          <w:rFonts w:ascii="Times New Roman" w:eastAsia="Times New Roman" w:hAnsi="Times New Roman" w:cs="Times New Roman"/>
          <w:sz w:val="28"/>
          <w:szCs w:val="28"/>
        </w:rPr>
        <w:t>.</w:t>
      </w:r>
      <w:r w:rsidR="00360AA3" w:rsidRPr="005114D4">
        <w:rPr>
          <w:rFonts w:ascii="Times New Roman" w:eastAsia="Times New Roman" w:hAnsi="Times New Roman" w:cs="Times New Roman"/>
          <w:sz w:val="28"/>
          <w:szCs w:val="28"/>
        </w:rPr>
        <w:t xml:space="preserve"> </w:t>
      </w:r>
      <w:r w:rsidR="005E53AB" w:rsidRPr="005114D4">
        <w:rPr>
          <w:rFonts w:ascii="Times New Roman" w:eastAsia="Times New Roman" w:hAnsi="Times New Roman" w:cs="Times New Roman"/>
          <w:sz w:val="28"/>
          <w:szCs w:val="28"/>
        </w:rPr>
        <w:t>During</w:t>
      </w:r>
      <w:r w:rsidR="00360AA3" w:rsidRPr="005114D4">
        <w:rPr>
          <w:rFonts w:ascii="Times New Roman" w:eastAsia="Times New Roman" w:hAnsi="Times New Roman" w:cs="Times New Roman"/>
          <w:sz w:val="28"/>
          <w:szCs w:val="28"/>
        </w:rPr>
        <w:t xml:space="preserve"> 2020Q2</w:t>
      </w:r>
      <w:r w:rsidR="005E53AB" w:rsidRPr="005114D4">
        <w:rPr>
          <w:rFonts w:ascii="Times New Roman" w:eastAsia="Times New Roman" w:hAnsi="Times New Roman" w:cs="Times New Roman"/>
          <w:sz w:val="28"/>
          <w:szCs w:val="28"/>
        </w:rPr>
        <w:t>,</w:t>
      </w:r>
      <w:r w:rsidR="00360AA3" w:rsidRPr="005114D4">
        <w:rPr>
          <w:rFonts w:ascii="Times New Roman" w:eastAsia="Times New Roman" w:hAnsi="Times New Roman" w:cs="Times New Roman"/>
          <w:sz w:val="28"/>
          <w:szCs w:val="28"/>
        </w:rPr>
        <w:t xml:space="preserve"> the impact of the recession is illustrated by the</w:t>
      </w:r>
      <w:r w:rsidR="003E0438" w:rsidRPr="005114D4">
        <w:rPr>
          <w:rFonts w:ascii="Times New Roman" w:eastAsia="Times New Roman" w:hAnsi="Times New Roman" w:cs="Times New Roman"/>
          <w:sz w:val="28"/>
          <w:szCs w:val="28"/>
        </w:rPr>
        <w:t xml:space="preserve"> large uptick in closing job losses</w:t>
      </w:r>
      <w:r w:rsidR="007D7788" w:rsidRPr="005114D4">
        <w:rPr>
          <w:rFonts w:ascii="Times New Roman" w:eastAsia="Times New Roman" w:hAnsi="Times New Roman" w:cs="Times New Roman"/>
          <w:sz w:val="28"/>
          <w:szCs w:val="28"/>
        </w:rPr>
        <w:t xml:space="preserve"> and the large uptick in openings the following quarter</w:t>
      </w:r>
      <w:r w:rsidR="003E0438" w:rsidRPr="005114D4">
        <w:rPr>
          <w:rFonts w:ascii="Times New Roman" w:eastAsia="Times New Roman" w:hAnsi="Times New Roman" w:cs="Times New Roman"/>
          <w:sz w:val="28"/>
          <w:szCs w:val="28"/>
        </w:rPr>
        <w:t>.</w:t>
      </w:r>
      <w:r w:rsidR="00724E27" w:rsidRPr="005114D4">
        <w:rPr>
          <w:rFonts w:ascii="Times New Roman" w:eastAsia="Times New Roman" w:hAnsi="Times New Roman" w:cs="Times New Roman"/>
          <w:sz w:val="28"/>
          <w:szCs w:val="28"/>
        </w:rPr>
        <w:t xml:space="preserve">  In the </w:t>
      </w:r>
      <w:r w:rsidR="005114D4" w:rsidRPr="005114D4">
        <w:rPr>
          <w:rFonts w:ascii="Times New Roman" w:eastAsia="Times New Roman" w:hAnsi="Times New Roman" w:cs="Times New Roman"/>
          <w:sz w:val="28"/>
          <w:szCs w:val="28"/>
        </w:rPr>
        <w:t>first quarter of 2023</w:t>
      </w:r>
      <w:r w:rsidR="00724E27" w:rsidRPr="005114D4">
        <w:rPr>
          <w:rFonts w:ascii="Times New Roman" w:eastAsia="Times New Roman" w:hAnsi="Times New Roman" w:cs="Times New Roman"/>
          <w:sz w:val="28"/>
          <w:szCs w:val="28"/>
        </w:rPr>
        <w:t xml:space="preserve">, </w:t>
      </w:r>
      <w:r w:rsidR="0005259C" w:rsidRPr="005114D4">
        <w:rPr>
          <w:rFonts w:ascii="Times New Roman" w:eastAsia="Times New Roman" w:hAnsi="Times New Roman" w:cs="Times New Roman"/>
          <w:sz w:val="28"/>
          <w:szCs w:val="28"/>
        </w:rPr>
        <w:t xml:space="preserve">employment change at </w:t>
      </w:r>
      <w:r w:rsidR="005E53AB" w:rsidRPr="005114D4">
        <w:rPr>
          <w:rFonts w:ascii="Times New Roman" w:eastAsia="Times New Roman" w:hAnsi="Times New Roman" w:cs="Times New Roman"/>
          <w:sz w:val="28"/>
          <w:szCs w:val="28"/>
        </w:rPr>
        <w:t>openings and closings</w:t>
      </w:r>
      <w:r w:rsidR="004E253E" w:rsidRPr="005114D4">
        <w:rPr>
          <w:rFonts w:ascii="Times New Roman" w:eastAsia="Times New Roman" w:hAnsi="Times New Roman" w:cs="Times New Roman"/>
          <w:sz w:val="28"/>
          <w:szCs w:val="28"/>
        </w:rPr>
        <w:t xml:space="preserve"> resulted in a </w:t>
      </w:r>
      <w:r w:rsidR="005114D4" w:rsidRPr="005114D4">
        <w:rPr>
          <w:rFonts w:ascii="Times New Roman" w:eastAsia="Times New Roman" w:hAnsi="Times New Roman" w:cs="Times New Roman"/>
          <w:sz w:val="28"/>
          <w:szCs w:val="28"/>
        </w:rPr>
        <w:t>2,933</w:t>
      </w:r>
      <w:r w:rsidR="004E253E" w:rsidRPr="005114D4">
        <w:rPr>
          <w:rFonts w:ascii="Times New Roman" w:eastAsia="Times New Roman" w:hAnsi="Times New Roman" w:cs="Times New Roman"/>
          <w:sz w:val="28"/>
          <w:szCs w:val="28"/>
        </w:rPr>
        <w:t xml:space="preserve"> net </w:t>
      </w:r>
      <w:r w:rsidR="0005259C" w:rsidRPr="005114D4">
        <w:rPr>
          <w:rFonts w:ascii="Times New Roman" w:eastAsia="Times New Roman" w:hAnsi="Times New Roman" w:cs="Times New Roman"/>
          <w:sz w:val="28"/>
          <w:szCs w:val="28"/>
        </w:rPr>
        <w:t xml:space="preserve">employment </w:t>
      </w:r>
      <w:r w:rsidR="005114D4" w:rsidRPr="005114D4">
        <w:rPr>
          <w:rFonts w:ascii="Times New Roman" w:eastAsia="Times New Roman" w:hAnsi="Times New Roman" w:cs="Times New Roman"/>
          <w:sz w:val="28"/>
          <w:szCs w:val="28"/>
        </w:rPr>
        <w:t>in</w:t>
      </w:r>
      <w:r w:rsidR="004E253E" w:rsidRPr="005114D4">
        <w:rPr>
          <w:rFonts w:ascii="Times New Roman" w:eastAsia="Times New Roman" w:hAnsi="Times New Roman" w:cs="Times New Roman"/>
          <w:sz w:val="28"/>
          <w:szCs w:val="28"/>
        </w:rPr>
        <w:t xml:space="preserve">crease </w:t>
      </w:r>
      <w:r w:rsidR="00847A2A" w:rsidRPr="005114D4">
        <w:rPr>
          <w:rFonts w:ascii="Times New Roman" w:eastAsia="Times New Roman" w:hAnsi="Times New Roman" w:cs="Times New Roman"/>
          <w:sz w:val="28"/>
          <w:szCs w:val="28"/>
        </w:rPr>
        <w:t xml:space="preserve">during the </w:t>
      </w:r>
      <w:r w:rsidR="005114D4" w:rsidRPr="005114D4">
        <w:rPr>
          <w:rFonts w:ascii="Times New Roman" w:eastAsia="Times New Roman" w:hAnsi="Times New Roman" w:cs="Times New Roman"/>
          <w:sz w:val="28"/>
          <w:szCs w:val="28"/>
        </w:rPr>
        <w:t>first quarter of 2023</w:t>
      </w:r>
      <w:r w:rsidR="00847A2A" w:rsidRPr="005114D4">
        <w:rPr>
          <w:rFonts w:ascii="Times New Roman" w:eastAsia="Times New Roman" w:hAnsi="Times New Roman" w:cs="Times New Roman"/>
          <w:sz w:val="28"/>
          <w:szCs w:val="28"/>
        </w:rPr>
        <w:t xml:space="preserve">.  This follows a </w:t>
      </w:r>
      <w:r w:rsidR="005114D4" w:rsidRPr="005114D4">
        <w:rPr>
          <w:rFonts w:ascii="Times New Roman" w:eastAsia="Times New Roman" w:hAnsi="Times New Roman" w:cs="Times New Roman"/>
          <w:sz w:val="28"/>
          <w:szCs w:val="28"/>
        </w:rPr>
        <w:t>1,412</w:t>
      </w:r>
      <w:r w:rsidR="00847A2A" w:rsidRPr="005114D4">
        <w:rPr>
          <w:rFonts w:ascii="Times New Roman" w:eastAsia="Times New Roman" w:hAnsi="Times New Roman" w:cs="Times New Roman"/>
          <w:sz w:val="28"/>
          <w:szCs w:val="28"/>
        </w:rPr>
        <w:t xml:space="preserve"> net </w:t>
      </w:r>
      <w:r w:rsidR="00FC396B" w:rsidRPr="005114D4">
        <w:rPr>
          <w:rFonts w:ascii="Times New Roman" w:eastAsia="Times New Roman" w:hAnsi="Times New Roman" w:cs="Times New Roman"/>
          <w:sz w:val="28"/>
          <w:szCs w:val="28"/>
        </w:rPr>
        <w:t>de</w:t>
      </w:r>
      <w:r w:rsidR="004E253E" w:rsidRPr="005114D4">
        <w:rPr>
          <w:rFonts w:ascii="Times New Roman" w:eastAsia="Times New Roman" w:hAnsi="Times New Roman" w:cs="Times New Roman"/>
          <w:sz w:val="28"/>
          <w:szCs w:val="28"/>
        </w:rPr>
        <w:t>crease</w:t>
      </w:r>
      <w:r w:rsidR="00847A2A" w:rsidRPr="005114D4">
        <w:rPr>
          <w:rFonts w:ascii="Times New Roman" w:eastAsia="Times New Roman" w:hAnsi="Times New Roman" w:cs="Times New Roman"/>
          <w:sz w:val="28"/>
          <w:szCs w:val="28"/>
        </w:rPr>
        <w:t xml:space="preserve"> during the </w:t>
      </w:r>
      <w:r w:rsidR="005114D4" w:rsidRPr="005114D4">
        <w:rPr>
          <w:rFonts w:ascii="Times New Roman" w:eastAsia="Times New Roman" w:hAnsi="Times New Roman" w:cs="Times New Roman"/>
          <w:sz w:val="28"/>
          <w:szCs w:val="28"/>
        </w:rPr>
        <w:t>fourth</w:t>
      </w:r>
      <w:r w:rsidR="00847A2A" w:rsidRPr="005114D4">
        <w:rPr>
          <w:rFonts w:ascii="Times New Roman" w:eastAsia="Times New Roman" w:hAnsi="Times New Roman" w:cs="Times New Roman"/>
          <w:sz w:val="28"/>
          <w:szCs w:val="28"/>
        </w:rPr>
        <w:t xml:space="preserve"> quarter</w:t>
      </w:r>
      <w:r w:rsidR="00847A2A" w:rsidRPr="002D1F82">
        <w:rPr>
          <w:rFonts w:ascii="Times New Roman" w:eastAsia="Times New Roman" w:hAnsi="Times New Roman" w:cs="Times New Roman"/>
          <w:sz w:val="28"/>
          <w:szCs w:val="28"/>
        </w:rPr>
        <w:t xml:space="preserve"> of 2022.</w:t>
      </w:r>
    </w:p>
    <w:p w14:paraId="783B8C3A" w14:textId="6AA5F510" w:rsidR="00983FDC" w:rsidRPr="002D1F82" w:rsidRDefault="00983FDC" w:rsidP="007F462B">
      <w:pPr>
        <w:spacing w:after="0" w:line="240" w:lineRule="auto"/>
        <w:jc w:val="center"/>
        <w:rPr>
          <w:rFonts w:ascii="Times New Roman" w:eastAsia="Times New Roman" w:hAnsi="Times New Roman" w:cs="Times New Roman"/>
          <w:sz w:val="16"/>
          <w:szCs w:val="16"/>
        </w:rPr>
      </w:pPr>
    </w:p>
    <w:p w14:paraId="1F7F89FA" w14:textId="7E4C788F" w:rsidR="00ED2350" w:rsidRPr="002D1F82" w:rsidRDefault="00C30793"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072B2E93" wp14:editId="306DB192">
            <wp:extent cx="5025845" cy="3407434"/>
            <wp:effectExtent l="0" t="0" r="3810" b="2540"/>
            <wp:docPr id="5254360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073" cy="3420470"/>
                    </a:xfrm>
                    <a:prstGeom prst="rect">
                      <a:avLst/>
                    </a:prstGeom>
                    <a:noFill/>
                  </pic:spPr>
                </pic:pic>
              </a:graphicData>
            </a:graphic>
          </wp:inline>
        </w:drawing>
      </w:r>
    </w:p>
    <w:p w14:paraId="7ADD0DDD" w14:textId="404B16A1" w:rsidR="000F0357" w:rsidRPr="002D1F82" w:rsidRDefault="000F0357" w:rsidP="007F462B">
      <w:pPr>
        <w:spacing w:after="0" w:line="240" w:lineRule="auto"/>
        <w:jc w:val="center"/>
        <w:rPr>
          <w:rFonts w:ascii="Times New Roman" w:eastAsia="Times New Roman" w:hAnsi="Times New Roman" w:cs="Times New Roman"/>
          <w:sz w:val="30"/>
          <w:szCs w:val="30"/>
        </w:rPr>
      </w:pPr>
    </w:p>
    <w:p w14:paraId="0D69D385" w14:textId="64ADEC0F" w:rsidR="009A0DC4" w:rsidRPr="005114D4" w:rsidRDefault="004B2C9F"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In </w:t>
      </w:r>
      <w:r w:rsidR="00E37A50" w:rsidRPr="002D1F82">
        <w:rPr>
          <w:rFonts w:ascii="Times New Roman" w:eastAsia="Times New Roman" w:hAnsi="Times New Roman" w:cs="Times New Roman"/>
          <w:sz w:val="28"/>
          <w:szCs w:val="28"/>
        </w:rPr>
        <w:t xml:space="preserve">the </w:t>
      </w:r>
      <w:r w:rsidR="005114D4">
        <w:rPr>
          <w:rFonts w:ascii="Times New Roman" w:eastAsia="Times New Roman" w:hAnsi="Times New Roman" w:cs="Times New Roman"/>
          <w:sz w:val="28"/>
          <w:szCs w:val="28"/>
        </w:rPr>
        <w:t xml:space="preserve">first </w:t>
      </w:r>
      <w:r w:rsidR="005114D4" w:rsidRPr="005114D4">
        <w:rPr>
          <w:rFonts w:ascii="Times New Roman" w:eastAsia="Times New Roman" w:hAnsi="Times New Roman" w:cs="Times New Roman"/>
          <w:sz w:val="28"/>
          <w:szCs w:val="28"/>
        </w:rPr>
        <w:t>quarter of 2023</w:t>
      </w:r>
      <w:r w:rsidR="00020E4E" w:rsidRPr="005114D4">
        <w:rPr>
          <w:rFonts w:ascii="Times New Roman" w:eastAsia="Times New Roman" w:hAnsi="Times New Roman" w:cs="Times New Roman"/>
          <w:sz w:val="28"/>
          <w:szCs w:val="28"/>
        </w:rPr>
        <w:t>,</w:t>
      </w:r>
      <w:r w:rsidR="003647EF" w:rsidRPr="005114D4">
        <w:rPr>
          <w:rFonts w:ascii="Times New Roman" w:eastAsia="Times New Roman" w:hAnsi="Times New Roman" w:cs="Times New Roman"/>
          <w:sz w:val="28"/>
          <w:szCs w:val="28"/>
        </w:rPr>
        <w:t xml:space="preserve"> there </w:t>
      </w:r>
      <w:r w:rsidR="003B059E" w:rsidRPr="005114D4">
        <w:rPr>
          <w:rFonts w:ascii="Times New Roman" w:eastAsia="Times New Roman" w:hAnsi="Times New Roman" w:cs="Times New Roman"/>
          <w:sz w:val="28"/>
          <w:szCs w:val="28"/>
        </w:rPr>
        <w:t xml:space="preserve">were </w:t>
      </w:r>
      <w:r w:rsidR="00BB232A" w:rsidRPr="005114D4">
        <w:rPr>
          <w:rFonts w:ascii="Times New Roman" w:eastAsia="Times New Roman" w:hAnsi="Times New Roman" w:cs="Times New Roman"/>
          <w:sz w:val="28"/>
          <w:szCs w:val="28"/>
        </w:rPr>
        <w:t>4,</w:t>
      </w:r>
      <w:r w:rsidR="005114D4" w:rsidRPr="005114D4">
        <w:rPr>
          <w:rFonts w:ascii="Times New Roman" w:eastAsia="Times New Roman" w:hAnsi="Times New Roman" w:cs="Times New Roman"/>
          <w:sz w:val="28"/>
          <w:szCs w:val="28"/>
        </w:rPr>
        <w:t>331</w:t>
      </w:r>
      <w:r w:rsidR="0040200D" w:rsidRPr="005114D4">
        <w:rPr>
          <w:rFonts w:ascii="Times New Roman" w:eastAsia="Times New Roman" w:hAnsi="Times New Roman" w:cs="Times New Roman"/>
          <w:sz w:val="28"/>
          <w:szCs w:val="28"/>
        </w:rPr>
        <w:t xml:space="preserve"> </w:t>
      </w:r>
      <w:r w:rsidR="009A0DC4" w:rsidRPr="005114D4">
        <w:rPr>
          <w:rFonts w:ascii="Times New Roman" w:eastAsia="Times New Roman" w:hAnsi="Times New Roman" w:cs="Times New Roman"/>
          <w:b/>
          <w:sz w:val="28"/>
          <w:szCs w:val="28"/>
        </w:rPr>
        <w:t>establishment births</w:t>
      </w:r>
      <w:r w:rsidR="00CF3447" w:rsidRPr="005114D4">
        <w:rPr>
          <w:rFonts w:ascii="Times New Roman" w:eastAsia="Times New Roman" w:hAnsi="Times New Roman" w:cs="Times New Roman"/>
          <w:sz w:val="28"/>
          <w:szCs w:val="28"/>
        </w:rPr>
        <w:t xml:space="preserve"> </w:t>
      </w:r>
      <w:r w:rsidR="009A0DC4" w:rsidRPr="005114D4">
        <w:rPr>
          <w:rFonts w:ascii="Times New Roman" w:eastAsia="Times New Roman" w:hAnsi="Times New Roman" w:cs="Times New Roman"/>
          <w:sz w:val="28"/>
          <w:szCs w:val="28"/>
        </w:rPr>
        <w:t>(a subset of t</w:t>
      </w:r>
      <w:r w:rsidR="002F5DF8" w:rsidRPr="005114D4">
        <w:rPr>
          <w:rFonts w:ascii="Times New Roman" w:eastAsia="Times New Roman" w:hAnsi="Times New Roman" w:cs="Times New Roman"/>
          <w:sz w:val="28"/>
          <w:szCs w:val="28"/>
        </w:rPr>
        <w:t>he openings data</w:t>
      </w:r>
      <w:r w:rsidR="009A0DC4" w:rsidRPr="005114D4">
        <w:rPr>
          <w:rFonts w:ascii="Times New Roman" w:eastAsia="Times New Roman" w:hAnsi="Times New Roman" w:cs="Times New Roman"/>
          <w:sz w:val="28"/>
          <w:szCs w:val="28"/>
        </w:rPr>
        <w:t>). These new establishments accounted for</w:t>
      </w:r>
      <w:r w:rsidR="001E7CB2"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10,415</w:t>
      </w:r>
      <w:r w:rsidR="003B059E" w:rsidRPr="005114D4">
        <w:rPr>
          <w:rFonts w:ascii="Times New Roman" w:eastAsia="Times New Roman" w:hAnsi="Times New Roman" w:cs="Times New Roman"/>
          <w:sz w:val="28"/>
          <w:szCs w:val="28"/>
        </w:rPr>
        <w:t xml:space="preserve"> jobs,</w:t>
      </w:r>
      <w:r w:rsidR="00BB232A"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1,198 less</w:t>
      </w:r>
      <w:r w:rsidR="009C28D7" w:rsidRPr="005114D4">
        <w:rPr>
          <w:rFonts w:ascii="Times New Roman" w:eastAsia="Times New Roman" w:hAnsi="Times New Roman" w:cs="Times New Roman"/>
          <w:sz w:val="28"/>
          <w:szCs w:val="28"/>
        </w:rPr>
        <w:t xml:space="preserve"> </w:t>
      </w:r>
      <w:r w:rsidR="00A47202" w:rsidRPr="005114D4">
        <w:rPr>
          <w:rFonts w:ascii="Times New Roman" w:eastAsia="Times New Roman" w:hAnsi="Times New Roman" w:cs="Times New Roman"/>
          <w:sz w:val="28"/>
          <w:szCs w:val="28"/>
        </w:rPr>
        <w:t>than</w:t>
      </w:r>
      <w:r w:rsidR="009A0DC4" w:rsidRPr="005114D4">
        <w:rPr>
          <w:rFonts w:ascii="Times New Roman" w:eastAsia="Times New Roman" w:hAnsi="Times New Roman" w:cs="Times New Roman"/>
          <w:sz w:val="28"/>
          <w:szCs w:val="28"/>
        </w:rPr>
        <w:t xml:space="preserve"> th</w:t>
      </w:r>
      <w:r w:rsidR="009B5C2E" w:rsidRPr="005114D4">
        <w:rPr>
          <w:rFonts w:ascii="Times New Roman" w:eastAsia="Times New Roman" w:hAnsi="Times New Roman" w:cs="Times New Roman"/>
          <w:sz w:val="28"/>
          <w:szCs w:val="28"/>
        </w:rPr>
        <w:t xml:space="preserve">e previous quarter. </w:t>
      </w:r>
    </w:p>
    <w:p w14:paraId="2FE44F16" w14:textId="77777777" w:rsidR="009B5C2E" w:rsidRPr="005114D4" w:rsidRDefault="009B5C2E" w:rsidP="009A0DC4">
      <w:pPr>
        <w:spacing w:after="0" w:line="240" w:lineRule="auto"/>
        <w:rPr>
          <w:rFonts w:ascii="Times New Roman" w:eastAsia="Times New Roman" w:hAnsi="Times New Roman" w:cs="Times New Roman"/>
          <w:sz w:val="28"/>
          <w:szCs w:val="28"/>
        </w:rPr>
      </w:pPr>
    </w:p>
    <w:p w14:paraId="64BADA8D" w14:textId="69A6595D" w:rsidR="009A0DC4" w:rsidRPr="002D1F82" w:rsidRDefault="009A0DC4" w:rsidP="009A0DC4">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28"/>
          <w:szCs w:val="28"/>
        </w:rPr>
        <w:t xml:space="preserve">Data for </w:t>
      </w:r>
      <w:r w:rsidRPr="005114D4">
        <w:rPr>
          <w:rFonts w:ascii="Times New Roman" w:eastAsia="Times New Roman" w:hAnsi="Times New Roman" w:cs="Times New Roman"/>
          <w:b/>
          <w:sz w:val="28"/>
          <w:szCs w:val="28"/>
        </w:rPr>
        <w:t>establishment deaths</w:t>
      </w:r>
      <w:r w:rsidRPr="005114D4">
        <w:rPr>
          <w:rFonts w:ascii="Times New Roman" w:eastAsia="Times New Roman" w:hAnsi="Times New Roman" w:cs="Times New Roman"/>
          <w:sz w:val="28"/>
          <w:szCs w:val="28"/>
        </w:rPr>
        <w:t xml:space="preserve"> (a subset of the closings data) are available through </w:t>
      </w:r>
      <w:r w:rsidR="00CF3447" w:rsidRPr="005114D4">
        <w:rPr>
          <w:rFonts w:ascii="Times New Roman" w:eastAsia="Times New Roman" w:hAnsi="Times New Roman" w:cs="Times New Roman"/>
          <w:sz w:val="28"/>
          <w:szCs w:val="28"/>
        </w:rPr>
        <w:t>the</w:t>
      </w:r>
      <w:r w:rsidR="004A5201"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second</w:t>
      </w:r>
      <w:r w:rsidR="00197466" w:rsidRPr="005114D4">
        <w:rPr>
          <w:rFonts w:ascii="Times New Roman" w:eastAsia="Times New Roman" w:hAnsi="Times New Roman" w:cs="Times New Roman"/>
          <w:sz w:val="28"/>
          <w:szCs w:val="28"/>
        </w:rPr>
        <w:t xml:space="preserve"> </w:t>
      </w:r>
      <w:r w:rsidR="00A47202" w:rsidRPr="005114D4">
        <w:rPr>
          <w:rFonts w:ascii="Times New Roman" w:eastAsia="Times New Roman" w:hAnsi="Times New Roman" w:cs="Times New Roman"/>
          <w:sz w:val="28"/>
          <w:szCs w:val="28"/>
        </w:rPr>
        <w:t>quarter of 2</w:t>
      </w:r>
      <w:r w:rsidR="001E7CB2" w:rsidRPr="005114D4">
        <w:rPr>
          <w:rFonts w:ascii="Times New Roman" w:eastAsia="Times New Roman" w:hAnsi="Times New Roman" w:cs="Times New Roman"/>
          <w:sz w:val="28"/>
          <w:szCs w:val="28"/>
        </w:rPr>
        <w:t>0</w:t>
      </w:r>
      <w:r w:rsidR="007F6351" w:rsidRPr="005114D4">
        <w:rPr>
          <w:rFonts w:ascii="Times New Roman" w:eastAsia="Times New Roman" w:hAnsi="Times New Roman" w:cs="Times New Roman"/>
          <w:sz w:val="28"/>
          <w:szCs w:val="28"/>
        </w:rPr>
        <w:t>22</w:t>
      </w:r>
      <w:r w:rsidRPr="005114D4">
        <w:rPr>
          <w:rFonts w:ascii="Times New Roman" w:eastAsia="Times New Roman" w:hAnsi="Times New Roman" w:cs="Times New Roman"/>
          <w:sz w:val="28"/>
          <w:szCs w:val="28"/>
        </w:rPr>
        <w:t xml:space="preserve">, </w:t>
      </w:r>
      <w:r w:rsidR="001F74F6" w:rsidRPr="005114D4">
        <w:rPr>
          <w:rFonts w:ascii="Times New Roman" w:eastAsia="Times New Roman" w:hAnsi="Times New Roman" w:cs="Times New Roman"/>
          <w:sz w:val="28"/>
          <w:szCs w:val="28"/>
        </w:rPr>
        <w:t>where</w:t>
      </w:r>
      <w:r w:rsidR="007D7788"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7,351</w:t>
      </w:r>
      <w:r w:rsidR="00197466" w:rsidRPr="005114D4">
        <w:rPr>
          <w:rFonts w:ascii="Times New Roman" w:eastAsia="Times New Roman" w:hAnsi="Times New Roman" w:cs="Times New Roman"/>
          <w:sz w:val="28"/>
          <w:szCs w:val="28"/>
        </w:rPr>
        <w:t xml:space="preserve"> </w:t>
      </w:r>
      <w:r w:rsidRPr="005114D4">
        <w:rPr>
          <w:rFonts w:ascii="Times New Roman" w:eastAsia="Times New Roman" w:hAnsi="Times New Roman" w:cs="Times New Roman"/>
          <w:sz w:val="28"/>
          <w:szCs w:val="28"/>
        </w:rPr>
        <w:t xml:space="preserve">jobs were lost at </w:t>
      </w:r>
      <w:r w:rsidR="005114D4" w:rsidRPr="005114D4">
        <w:rPr>
          <w:rFonts w:ascii="Times New Roman" w:eastAsia="Times New Roman" w:hAnsi="Times New Roman" w:cs="Times New Roman"/>
          <w:sz w:val="28"/>
          <w:szCs w:val="28"/>
        </w:rPr>
        <w:t>3,122</w:t>
      </w:r>
      <w:r w:rsidR="0040200D" w:rsidRPr="005114D4">
        <w:rPr>
          <w:rFonts w:ascii="Times New Roman" w:eastAsia="Times New Roman" w:hAnsi="Times New Roman" w:cs="Times New Roman"/>
          <w:sz w:val="28"/>
          <w:szCs w:val="28"/>
        </w:rPr>
        <w:t xml:space="preserve"> </w:t>
      </w:r>
      <w:r w:rsidR="004475D3" w:rsidRPr="005114D4">
        <w:rPr>
          <w:rFonts w:ascii="Times New Roman" w:eastAsia="Times New Roman" w:hAnsi="Times New Roman" w:cs="Times New Roman"/>
          <w:sz w:val="28"/>
          <w:szCs w:val="28"/>
        </w:rPr>
        <w:t>establishment deaths</w:t>
      </w:r>
      <w:r w:rsidRPr="005114D4">
        <w:rPr>
          <w:rFonts w:ascii="Times New Roman" w:eastAsia="Times New Roman" w:hAnsi="Times New Roman" w:cs="Times New Roman"/>
          <w:sz w:val="28"/>
          <w:szCs w:val="28"/>
        </w:rPr>
        <w:t xml:space="preserve">. In the prior </w:t>
      </w:r>
      <w:r w:rsidR="00A0654D" w:rsidRPr="005114D4">
        <w:rPr>
          <w:rFonts w:ascii="Times New Roman" w:eastAsia="Times New Roman" w:hAnsi="Times New Roman" w:cs="Times New Roman"/>
          <w:sz w:val="28"/>
          <w:szCs w:val="28"/>
        </w:rPr>
        <w:t xml:space="preserve">quarter, </w:t>
      </w:r>
      <w:r w:rsidR="005114D4" w:rsidRPr="005114D4">
        <w:rPr>
          <w:rFonts w:ascii="Times New Roman" w:eastAsia="Times New Roman" w:hAnsi="Times New Roman" w:cs="Times New Roman"/>
          <w:sz w:val="28"/>
          <w:szCs w:val="28"/>
        </w:rPr>
        <w:t xml:space="preserve">6,837 </w:t>
      </w:r>
      <w:r w:rsidR="00CF3447" w:rsidRPr="005114D4">
        <w:rPr>
          <w:rFonts w:ascii="Times New Roman" w:eastAsia="Times New Roman" w:hAnsi="Times New Roman" w:cs="Times New Roman"/>
          <w:sz w:val="28"/>
          <w:szCs w:val="28"/>
        </w:rPr>
        <w:t xml:space="preserve">jobs were lost at </w:t>
      </w:r>
      <w:r w:rsidR="004E253E" w:rsidRPr="005114D4">
        <w:rPr>
          <w:rFonts w:ascii="Times New Roman" w:eastAsia="Times New Roman" w:hAnsi="Times New Roman" w:cs="Times New Roman"/>
          <w:sz w:val="28"/>
          <w:szCs w:val="28"/>
        </w:rPr>
        <w:t>2</w:t>
      </w:r>
      <w:r w:rsidR="007F6351" w:rsidRPr="005114D4">
        <w:rPr>
          <w:rFonts w:ascii="Times New Roman" w:eastAsia="Times New Roman" w:hAnsi="Times New Roman" w:cs="Times New Roman"/>
          <w:sz w:val="28"/>
          <w:szCs w:val="28"/>
        </w:rPr>
        <w:t>,8</w:t>
      </w:r>
      <w:r w:rsidR="005114D4" w:rsidRPr="005114D4">
        <w:rPr>
          <w:rFonts w:ascii="Times New Roman" w:eastAsia="Times New Roman" w:hAnsi="Times New Roman" w:cs="Times New Roman"/>
          <w:sz w:val="28"/>
          <w:szCs w:val="28"/>
        </w:rPr>
        <w:t>83</w:t>
      </w:r>
      <w:r w:rsidR="00197466" w:rsidRPr="005114D4">
        <w:rPr>
          <w:rFonts w:ascii="Times New Roman" w:eastAsia="Times New Roman" w:hAnsi="Times New Roman" w:cs="Times New Roman"/>
          <w:sz w:val="28"/>
          <w:szCs w:val="28"/>
        </w:rPr>
        <w:t xml:space="preserve"> </w:t>
      </w:r>
      <w:r w:rsidR="009435B8" w:rsidRPr="005114D4">
        <w:rPr>
          <w:rFonts w:ascii="Times New Roman" w:eastAsia="Times New Roman" w:hAnsi="Times New Roman" w:cs="Times New Roman"/>
          <w:sz w:val="28"/>
          <w:szCs w:val="28"/>
        </w:rPr>
        <w:t>establishment</w:t>
      </w:r>
      <w:r w:rsidR="009435B8" w:rsidRPr="002D1F82">
        <w:rPr>
          <w:rFonts w:ascii="Times New Roman" w:eastAsia="Times New Roman" w:hAnsi="Times New Roman" w:cs="Times New Roman"/>
          <w:sz w:val="28"/>
          <w:szCs w:val="28"/>
        </w:rPr>
        <w:t xml:space="preserve"> deaths</w:t>
      </w:r>
      <w:r w:rsidR="009B5C2E" w:rsidRPr="002D1F82">
        <w:rPr>
          <w:rFonts w:ascii="Times New Roman" w:eastAsia="Times New Roman" w:hAnsi="Times New Roman" w:cs="Times New Roman"/>
          <w:sz w:val="28"/>
          <w:szCs w:val="28"/>
        </w:rPr>
        <w:t>.</w:t>
      </w:r>
      <w:r w:rsidR="00C42F53" w:rsidRPr="002D1F82">
        <w:rPr>
          <w:rFonts w:ascii="Times New Roman" w:eastAsia="Times New Roman" w:hAnsi="Times New Roman" w:cs="Times New Roman"/>
          <w:sz w:val="28"/>
          <w:szCs w:val="28"/>
        </w:rPr>
        <w:t xml:space="preserve">  </w:t>
      </w:r>
    </w:p>
    <w:p w14:paraId="36DC9099" w14:textId="133986AD" w:rsidR="008D637E" w:rsidRPr="002D1F82" w:rsidRDefault="00C30793" w:rsidP="00F92959">
      <w:pPr>
        <w:spacing w:after="0" w:line="240" w:lineRule="auto"/>
        <w:jc w:val="center"/>
        <w:rPr>
          <w:rFonts w:ascii="Times New Roman" w:eastAsia="Times New Roman" w:hAnsi="Times New Roman" w:cs="Times New Roman"/>
          <w:sz w:val="30"/>
          <w:szCs w:val="30"/>
        </w:rPr>
      </w:pPr>
      <w:r>
        <w:rPr>
          <w:noProof/>
        </w:rPr>
        <w:lastRenderedPageBreak/>
        <w:drawing>
          <wp:inline distT="0" distB="0" distL="0" distR="0" wp14:anchorId="5FD2922C" wp14:editId="1B4B5DDC">
            <wp:extent cx="4971521" cy="2996751"/>
            <wp:effectExtent l="0" t="0" r="635" b="13335"/>
            <wp:docPr id="1844302153"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E29AC" w:rsidRPr="002D1F82">
        <w:rPr>
          <w:rFonts w:ascii="Times New Roman" w:eastAsia="Times New Roman" w:hAnsi="Times New Roman" w:cs="Times New Roman"/>
          <w:sz w:val="30"/>
          <w:szCs w:val="30"/>
        </w:rPr>
        <w:br/>
      </w:r>
    </w:p>
    <w:p w14:paraId="19FBDC58" w14:textId="5D05E718" w:rsidR="00540D0A" w:rsidRPr="005114D4" w:rsidRDefault="009B5C2E" w:rsidP="00BA5D8C">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The </w:t>
      </w:r>
      <w:r w:rsidRPr="002D1F82">
        <w:rPr>
          <w:rFonts w:ascii="Times New Roman" w:eastAsia="Times New Roman" w:hAnsi="Times New Roman" w:cs="Times New Roman"/>
          <w:b/>
          <w:sz w:val="28"/>
          <w:szCs w:val="28"/>
        </w:rPr>
        <w:t>net change</w:t>
      </w:r>
      <w:r w:rsidRPr="002D1F82">
        <w:rPr>
          <w:rFonts w:ascii="Times New Roman" w:eastAsia="Times New Roman" w:hAnsi="Times New Roman" w:cs="Times New Roman"/>
          <w:sz w:val="28"/>
          <w:szCs w:val="28"/>
        </w:rPr>
        <w:t xml:space="preserve"> </w:t>
      </w:r>
      <w:r w:rsidRPr="005114D4">
        <w:rPr>
          <w:rFonts w:ascii="Times New Roman" w:eastAsia="Times New Roman" w:hAnsi="Times New Roman" w:cs="Times New Roman"/>
          <w:sz w:val="28"/>
          <w:szCs w:val="28"/>
        </w:rPr>
        <w:t xml:space="preserve">of </w:t>
      </w:r>
      <w:r w:rsidRPr="005114D4">
        <w:rPr>
          <w:rFonts w:ascii="Times New Roman" w:eastAsia="Times New Roman" w:hAnsi="Times New Roman" w:cs="Times New Roman"/>
          <w:b/>
          <w:sz w:val="28"/>
          <w:szCs w:val="28"/>
        </w:rPr>
        <w:t>establishment births and deaths</w:t>
      </w:r>
      <w:r w:rsidRPr="005114D4">
        <w:rPr>
          <w:rFonts w:ascii="Times New Roman" w:eastAsia="Times New Roman" w:hAnsi="Times New Roman" w:cs="Times New Roman"/>
          <w:sz w:val="28"/>
          <w:szCs w:val="28"/>
        </w:rPr>
        <w:t xml:space="preserve"> went </w:t>
      </w:r>
      <w:r w:rsidR="00026DE4" w:rsidRPr="005114D4">
        <w:rPr>
          <w:rFonts w:ascii="Times New Roman" w:eastAsia="Times New Roman" w:hAnsi="Times New Roman" w:cs="Times New Roman"/>
          <w:sz w:val="28"/>
          <w:szCs w:val="28"/>
        </w:rPr>
        <w:t xml:space="preserve">consistently </w:t>
      </w:r>
      <w:r w:rsidRPr="005114D4">
        <w:rPr>
          <w:rFonts w:ascii="Times New Roman" w:eastAsia="Times New Roman" w:hAnsi="Times New Roman" w:cs="Times New Roman"/>
          <w:sz w:val="28"/>
          <w:szCs w:val="28"/>
        </w:rPr>
        <w:t>nega</w:t>
      </w:r>
      <w:r w:rsidR="00026DE4" w:rsidRPr="005114D4">
        <w:rPr>
          <w:rFonts w:ascii="Times New Roman" w:eastAsia="Times New Roman" w:hAnsi="Times New Roman" w:cs="Times New Roman"/>
          <w:sz w:val="28"/>
          <w:szCs w:val="28"/>
        </w:rPr>
        <w:t xml:space="preserve">tive </w:t>
      </w:r>
      <w:r w:rsidR="00FE15AC" w:rsidRPr="005114D4">
        <w:rPr>
          <w:rFonts w:ascii="Times New Roman" w:eastAsia="Times New Roman" w:hAnsi="Times New Roman" w:cs="Times New Roman"/>
          <w:sz w:val="28"/>
          <w:szCs w:val="28"/>
        </w:rPr>
        <w:t xml:space="preserve">during the </w:t>
      </w:r>
      <w:r w:rsidR="009D0989" w:rsidRPr="005114D4">
        <w:rPr>
          <w:rFonts w:ascii="Times New Roman" w:eastAsia="Times New Roman" w:hAnsi="Times New Roman" w:cs="Times New Roman"/>
          <w:sz w:val="28"/>
          <w:szCs w:val="28"/>
        </w:rPr>
        <w:t>Great Recession</w:t>
      </w:r>
      <w:r w:rsidR="00FE15AC" w:rsidRPr="005114D4">
        <w:rPr>
          <w:rFonts w:ascii="Times New Roman" w:eastAsia="Times New Roman" w:hAnsi="Times New Roman" w:cs="Times New Roman"/>
          <w:sz w:val="28"/>
          <w:szCs w:val="28"/>
        </w:rPr>
        <w:t xml:space="preserve"> </w:t>
      </w:r>
      <w:r w:rsidR="00A703CC" w:rsidRPr="005114D4">
        <w:rPr>
          <w:rFonts w:ascii="Times New Roman" w:eastAsia="Times New Roman" w:hAnsi="Times New Roman" w:cs="Times New Roman"/>
          <w:sz w:val="28"/>
          <w:szCs w:val="28"/>
        </w:rPr>
        <w:t xml:space="preserve">in Connecticut </w:t>
      </w:r>
      <w:r w:rsidR="00FE15AC" w:rsidRPr="005114D4">
        <w:rPr>
          <w:rFonts w:ascii="Times New Roman" w:eastAsia="Times New Roman" w:hAnsi="Times New Roman" w:cs="Times New Roman"/>
          <w:sz w:val="28"/>
          <w:szCs w:val="28"/>
        </w:rPr>
        <w:t xml:space="preserve">from the </w:t>
      </w:r>
      <w:r w:rsidR="00381566" w:rsidRPr="005114D4">
        <w:rPr>
          <w:rFonts w:ascii="Times New Roman" w:eastAsia="Times New Roman" w:hAnsi="Times New Roman" w:cs="Times New Roman"/>
          <w:sz w:val="28"/>
          <w:szCs w:val="28"/>
        </w:rPr>
        <w:t>first quarter</w:t>
      </w:r>
      <w:r w:rsidR="00FE15AC" w:rsidRPr="005114D4">
        <w:rPr>
          <w:rFonts w:ascii="Times New Roman" w:eastAsia="Times New Roman" w:hAnsi="Times New Roman" w:cs="Times New Roman"/>
          <w:sz w:val="28"/>
          <w:szCs w:val="28"/>
        </w:rPr>
        <w:t xml:space="preserve"> of 2008</w:t>
      </w:r>
      <w:r w:rsidR="00714CDA" w:rsidRPr="005114D4">
        <w:rPr>
          <w:rFonts w:ascii="Times New Roman" w:eastAsia="Times New Roman" w:hAnsi="Times New Roman" w:cs="Times New Roman"/>
          <w:sz w:val="28"/>
          <w:szCs w:val="28"/>
        </w:rPr>
        <w:t xml:space="preserve"> </w:t>
      </w:r>
      <w:r w:rsidR="008D6C43" w:rsidRPr="005114D4">
        <w:rPr>
          <w:rFonts w:ascii="Times New Roman" w:eastAsia="Times New Roman" w:hAnsi="Times New Roman" w:cs="Times New Roman"/>
          <w:sz w:val="28"/>
          <w:szCs w:val="28"/>
        </w:rPr>
        <w:t>through the</w:t>
      </w:r>
      <w:r w:rsidR="00026DE4" w:rsidRPr="005114D4">
        <w:rPr>
          <w:rFonts w:ascii="Times New Roman" w:eastAsia="Times New Roman" w:hAnsi="Times New Roman" w:cs="Times New Roman"/>
          <w:sz w:val="28"/>
          <w:szCs w:val="28"/>
        </w:rPr>
        <w:t xml:space="preserve"> first quarter of 2010.</w:t>
      </w:r>
      <w:r w:rsidR="0040200D" w:rsidRPr="005114D4">
        <w:rPr>
          <w:rFonts w:ascii="Times New Roman" w:eastAsia="Times New Roman" w:hAnsi="Times New Roman" w:cs="Times New Roman"/>
          <w:sz w:val="28"/>
          <w:szCs w:val="28"/>
        </w:rPr>
        <w:t xml:space="preserve">  During those 9 quarters of </w:t>
      </w:r>
      <w:r w:rsidR="009D0989" w:rsidRPr="005114D4">
        <w:rPr>
          <w:rFonts w:ascii="Times New Roman" w:eastAsia="Times New Roman" w:hAnsi="Times New Roman" w:cs="Times New Roman"/>
          <w:sz w:val="28"/>
          <w:szCs w:val="28"/>
        </w:rPr>
        <w:t>net decline</w:t>
      </w:r>
      <w:r w:rsidR="0040200D" w:rsidRPr="005114D4">
        <w:rPr>
          <w:rFonts w:ascii="Times New Roman" w:eastAsia="Times New Roman" w:hAnsi="Times New Roman" w:cs="Times New Roman"/>
          <w:sz w:val="28"/>
          <w:szCs w:val="28"/>
        </w:rPr>
        <w:t>, Connecticut averaged a net decrease of 640 establishments per quarter, with the largest net establishment decline occurring at the end of the recession, down 1,784 in the first quarter of 2010.  From 2010</w:t>
      </w:r>
      <w:r w:rsidR="00C42F53" w:rsidRPr="005114D4">
        <w:rPr>
          <w:rFonts w:ascii="Times New Roman" w:eastAsia="Times New Roman" w:hAnsi="Times New Roman" w:cs="Times New Roman"/>
          <w:sz w:val="28"/>
          <w:szCs w:val="28"/>
        </w:rPr>
        <w:t>Q2</w:t>
      </w:r>
      <w:r w:rsidR="0040200D" w:rsidRPr="005114D4">
        <w:rPr>
          <w:rFonts w:ascii="Times New Roman" w:eastAsia="Times New Roman" w:hAnsi="Times New Roman" w:cs="Times New Roman"/>
          <w:sz w:val="28"/>
          <w:szCs w:val="28"/>
        </w:rPr>
        <w:t>-2018</w:t>
      </w:r>
      <w:r w:rsidR="0094656F" w:rsidRPr="005114D4">
        <w:rPr>
          <w:rFonts w:ascii="Times New Roman" w:eastAsia="Times New Roman" w:hAnsi="Times New Roman" w:cs="Times New Roman"/>
          <w:sz w:val="28"/>
          <w:szCs w:val="28"/>
        </w:rPr>
        <w:t>Q4</w:t>
      </w:r>
      <w:r w:rsidR="0040200D" w:rsidRPr="005114D4">
        <w:rPr>
          <w:rFonts w:ascii="Times New Roman" w:eastAsia="Times New Roman" w:hAnsi="Times New Roman" w:cs="Times New Roman"/>
          <w:sz w:val="28"/>
          <w:szCs w:val="28"/>
        </w:rPr>
        <w:t xml:space="preserve">, it ranged between </w:t>
      </w:r>
      <w:r w:rsidR="0005259C" w:rsidRPr="005114D4">
        <w:rPr>
          <w:rFonts w:ascii="Times New Roman" w:eastAsia="Times New Roman" w:hAnsi="Times New Roman" w:cs="Times New Roman"/>
          <w:sz w:val="28"/>
          <w:szCs w:val="28"/>
        </w:rPr>
        <w:br/>
      </w:r>
      <w:r w:rsidR="0040200D" w:rsidRPr="005114D4">
        <w:rPr>
          <w:rFonts w:ascii="Times New Roman" w:eastAsia="Times New Roman" w:hAnsi="Times New Roman" w:cs="Times New Roman"/>
          <w:sz w:val="28"/>
          <w:szCs w:val="28"/>
        </w:rPr>
        <w:t>-354 and +903 quarter</w:t>
      </w:r>
      <w:r w:rsidR="004E253E" w:rsidRPr="005114D4">
        <w:rPr>
          <w:rFonts w:ascii="Times New Roman" w:eastAsia="Times New Roman" w:hAnsi="Times New Roman" w:cs="Times New Roman"/>
          <w:sz w:val="28"/>
          <w:szCs w:val="28"/>
        </w:rPr>
        <w:t>-to-</w:t>
      </w:r>
      <w:r w:rsidR="0040200D" w:rsidRPr="005114D4">
        <w:rPr>
          <w:rFonts w:ascii="Times New Roman" w:eastAsia="Times New Roman" w:hAnsi="Times New Roman" w:cs="Times New Roman"/>
          <w:sz w:val="28"/>
          <w:szCs w:val="28"/>
        </w:rPr>
        <w:t xml:space="preserve">quarter change.  </w:t>
      </w:r>
      <w:r w:rsidR="0040200D" w:rsidRPr="005114D4">
        <w:rPr>
          <w:rFonts w:ascii="Times New Roman" w:eastAsia="Times New Roman" w:hAnsi="Times New Roman" w:cs="Times New Roman"/>
          <w:sz w:val="28"/>
          <w:szCs w:val="28"/>
        </w:rPr>
        <w:br/>
      </w:r>
      <w:r w:rsidR="0040200D" w:rsidRPr="005114D4">
        <w:rPr>
          <w:rFonts w:ascii="Times New Roman" w:eastAsia="Times New Roman" w:hAnsi="Times New Roman" w:cs="Times New Roman"/>
          <w:sz w:val="28"/>
          <w:szCs w:val="28"/>
        </w:rPr>
        <w:br/>
        <w:t xml:space="preserve">During the first half of 2019, net change fell by </w:t>
      </w:r>
      <w:r w:rsidR="002F4076" w:rsidRPr="005114D4">
        <w:rPr>
          <w:rFonts w:ascii="Times New Roman" w:eastAsia="Times New Roman" w:hAnsi="Times New Roman" w:cs="Times New Roman"/>
          <w:sz w:val="28"/>
          <w:szCs w:val="28"/>
        </w:rPr>
        <w:t>1,9</w:t>
      </w:r>
      <w:r w:rsidR="004E253E" w:rsidRPr="005114D4">
        <w:rPr>
          <w:rFonts w:ascii="Times New Roman" w:eastAsia="Times New Roman" w:hAnsi="Times New Roman" w:cs="Times New Roman"/>
          <w:sz w:val="28"/>
          <w:szCs w:val="28"/>
        </w:rPr>
        <w:t>4</w:t>
      </w:r>
      <w:r w:rsidR="002F4076" w:rsidRPr="005114D4">
        <w:rPr>
          <w:rFonts w:ascii="Times New Roman" w:eastAsia="Times New Roman" w:hAnsi="Times New Roman" w:cs="Times New Roman"/>
          <w:sz w:val="28"/>
          <w:szCs w:val="28"/>
        </w:rPr>
        <w:t>5</w:t>
      </w:r>
      <w:r w:rsidR="0040200D" w:rsidRPr="005114D4">
        <w:rPr>
          <w:rFonts w:ascii="Times New Roman" w:eastAsia="Times New Roman" w:hAnsi="Times New Roman" w:cs="Times New Roman"/>
          <w:sz w:val="28"/>
          <w:szCs w:val="28"/>
        </w:rPr>
        <w:t xml:space="preserve"> establishments in the first quarter and 5</w:t>
      </w:r>
      <w:r w:rsidR="005114D4" w:rsidRPr="005114D4">
        <w:rPr>
          <w:rFonts w:ascii="Times New Roman" w:eastAsia="Times New Roman" w:hAnsi="Times New Roman" w:cs="Times New Roman"/>
          <w:sz w:val="28"/>
          <w:szCs w:val="28"/>
        </w:rPr>
        <w:t>44</w:t>
      </w:r>
      <w:r w:rsidR="0040200D" w:rsidRPr="005114D4">
        <w:rPr>
          <w:rFonts w:ascii="Times New Roman" w:eastAsia="Times New Roman" w:hAnsi="Times New Roman" w:cs="Times New Roman"/>
          <w:sz w:val="28"/>
          <w:szCs w:val="28"/>
        </w:rPr>
        <w:t xml:space="preserve"> in the second.   It recovered to a </w:t>
      </w:r>
      <w:r w:rsidR="005114D4" w:rsidRPr="005114D4">
        <w:rPr>
          <w:rFonts w:ascii="Times New Roman" w:eastAsia="Times New Roman" w:hAnsi="Times New Roman" w:cs="Times New Roman"/>
          <w:sz w:val="28"/>
          <w:szCs w:val="28"/>
        </w:rPr>
        <w:t>57</w:t>
      </w:r>
      <w:r w:rsidR="0040200D" w:rsidRPr="005114D4">
        <w:rPr>
          <w:rFonts w:ascii="Times New Roman" w:eastAsia="Times New Roman" w:hAnsi="Times New Roman" w:cs="Times New Roman"/>
          <w:sz w:val="28"/>
          <w:szCs w:val="28"/>
        </w:rPr>
        <w:t xml:space="preserve"> establishment increase in the third quarter</w:t>
      </w:r>
      <w:r w:rsidR="007D7788" w:rsidRPr="005114D4">
        <w:rPr>
          <w:rFonts w:ascii="Times New Roman" w:eastAsia="Times New Roman" w:hAnsi="Times New Roman" w:cs="Times New Roman"/>
          <w:sz w:val="28"/>
          <w:szCs w:val="28"/>
        </w:rPr>
        <w:t xml:space="preserve"> and fell by 1</w:t>
      </w:r>
      <w:r w:rsidR="004E253E" w:rsidRPr="005114D4">
        <w:rPr>
          <w:rFonts w:ascii="Times New Roman" w:eastAsia="Times New Roman" w:hAnsi="Times New Roman" w:cs="Times New Roman"/>
          <w:sz w:val="28"/>
          <w:szCs w:val="28"/>
        </w:rPr>
        <w:t>5</w:t>
      </w:r>
      <w:r w:rsidR="005114D4" w:rsidRPr="005114D4">
        <w:rPr>
          <w:rFonts w:ascii="Times New Roman" w:eastAsia="Times New Roman" w:hAnsi="Times New Roman" w:cs="Times New Roman"/>
          <w:sz w:val="28"/>
          <w:szCs w:val="28"/>
        </w:rPr>
        <w:t>3</w:t>
      </w:r>
      <w:r w:rsidR="007D7788" w:rsidRPr="005114D4">
        <w:rPr>
          <w:rFonts w:ascii="Times New Roman" w:eastAsia="Times New Roman" w:hAnsi="Times New Roman" w:cs="Times New Roman"/>
          <w:sz w:val="28"/>
          <w:szCs w:val="28"/>
        </w:rPr>
        <w:t xml:space="preserve"> in the fourth quarter of 2019</w:t>
      </w:r>
      <w:r w:rsidR="001E7CB2" w:rsidRPr="005114D4">
        <w:rPr>
          <w:rFonts w:ascii="Times New Roman" w:eastAsia="Times New Roman" w:hAnsi="Times New Roman" w:cs="Times New Roman"/>
          <w:sz w:val="28"/>
          <w:szCs w:val="28"/>
        </w:rPr>
        <w:t xml:space="preserve">.  During the first quarter of 2020, net establishment births and deaths was </w:t>
      </w:r>
      <w:r w:rsidR="00AA6E12" w:rsidRPr="005114D4">
        <w:rPr>
          <w:rFonts w:ascii="Times New Roman" w:eastAsia="Times New Roman" w:hAnsi="Times New Roman" w:cs="Times New Roman"/>
          <w:sz w:val="28"/>
          <w:szCs w:val="28"/>
        </w:rPr>
        <w:t xml:space="preserve">up </w:t>
      </w:r>
      <w:r w:rsidR="0094656F" w:rsidRPr="005114D4">
        <w:rPr>
          <w:rFonts w:ascii="Times New Roman" w:eastAsia="Times New Roman" w:hAnsi="Times New Roman" w:cs="Times New Roman"/>
          <w:sz w:val="28"/>
          <w:szCs w:val="28"/>
        </w:rPr>
        <w:t>4,</w:t>
      </w:r>
      <w:r w:rsidR="004E253E" w:rsidRPr="005114D4">
        <w:rPr>
          <w:rFonts w:ascii="Times New Roman" w:eastAsia="Times New Roman" w:hAnsi="Times New Roman" w:cs="Times New Roman"/>
          <w:sz w:val="28"/>
          <w:szCs w:val="28"/>
        </w:rPr>
        <w:t>11</w:t>
      </w:r>
      <w:r w:rsidR="005114D4" w:rsidRPr="005114D4">
        <w:rPr>
          <w:rFonts w:ascii="Times New Roman" w:eastAsia="Times New Roman" w:hAnsi="Times New Roman" w:cs="Times New Roman"/>
          <w:sz w:val="28"/>
          <w:szCs w:val="28"/>
        </w:rPr>
        <w:t>1</w:t>
      </w:r>
      <w:r w:rsidR="0094656F" w:rsidRPr="005114D4">
        <w:rPr>
          <w:rFonts w:ascii="Times New Roman" w:eastAsia="Times New Roman" w:hAnsi="Times New Roman" w:cs="Times New Roman"/>
          <w:sz w:val="28"/>
          <w:szCs w:val="28"/>
        </w:rPr>
        <w:t xml:space="preserve"> and</w:t>
      </w:r>
      <w:r w:rsidR="0005259C" w:rsidRPr="005114D4">
        <w:rPr>
          <w:rFonts w:ascii="Times New Roman" w:eastAsia="Times New Roman" w:hAnsi="Times New Roman" w:cs="Times New Roman"/>
          <w:sz w:val="28"/>
          <w:szCs w:val="28"/>
        </w:rPr>
        <w:t xml:space="preserve"> fell</w:t>
      </w:r>
      <w:r w:rsidR="00AA6E12" w:rsidRPr="005114D4">
        <w:rPr>
          <w:rFonts w:ascii="Times New Roman" w:eastAsia="Times New Roman" w:hAnsi="Times New Roman" w:cs="Times New Roman"/>
          <w:sz w:val="28"/>
          <w:szCs w:val="28"/>
        </w:rPr>
        <w:t xml:space="preserve"> </w:t>
      </w:r>
      <w:r w:rsidR="0094656F" w:rsidRPr="005114D4">
        <w:rPr>
          <w:rFonts w:ascii="Times New Roman" w:eastAsia="Times New Roman" w:hAnsi="Times New Roman" w:cs="Times New Roman"/>
          <w:sz w:val="28"/>
          <w:szCs w:val="28"/>
        </w:rPr>
        <w:t>1,5</w:t>
      </w:r>
      <w:r w:rsidR="005114D4" w:rsidRPr="005114D4">
        <w:rPr>
          <w:rFonts w:ascii="Times New Roman" w:eastAsia="Times New Roman" w:hAnsi="Times New Roman" w:cs="Times New Roman"/>
          <w:sz w:val="28"/>
          <w:szCs w:val="28"/>
        </w:rPr>
        <w:t>65</w:t>
      </w:r>
      <w:r w:rsidR="0094656F" w:rsidRPr="005114D4">
        <w:rPr>
          <w:rFonts w:ascii="Times New Roman" w:eastAsia="Times New Roman" w:hAnsi="Times New Roman" w:cs="Times New Roman"/>
          <w:sz w:val="28"/>
          <w:szCs w:val="28"/>
        </w:rPr>
        <w:t xml:space="preserve"> during the second quarter of 2020</w:t>
      </w:r>
      <w:r w:rsidR="00BB232A" w:rsidRPr="005114D4">
        <w:rPr>
          <w:rFonts w:ascii="Times New Roman" w:eastAsia="Times New Roman" w:hAnsi="Times New Roman" w:cs="Times New Roman"/>
          <w:sz w:val="28"/>
          <w:szCs w:val="28"/>
        </w:rPr>
        <w:t>.</w:t>
      </w:r>
      <w:r w:rsidR="004E253E" w:rsidRPr="005114D4">
        <w:rPr>
          <w:rFonts w:ascii="Times New Roman" w:eastAsia="Times New Roman" w:hAnsi="Times New Roman" w:cs="Times New Roman"/>
          <w:sz w:val="28"/>
          <w:szCs w:val="28"/>
        </w:rPr>
        <w:t xml:space="preserve">  After the 2020 recession, net establishment change averaged a gain of 1,3</w:t>
      </w:r>
      <w:r w:rsidR="005114D4" w:rsidRPr="005114D4">
        <w:rPr>
          <w:rFonts w:ascii="Times New Roman" w:eastAsia="Times New Roman" w:hAnsi="Times New Roman" w:cs="Times New Roman"/>
          <w:sz w:val="28"/>
          <w:szCs w:val="28"/>
        </w:rPr>
        <w:t>34</w:t>
      </w:r>
      <w:r w:rsidR="004E253E" w:rsidRPr="005114D4">
        <w:rPr>
          <w:rFonts w:ascii="Times New Roman" w:eastAsia="Times New Roman" w:hAnsi="Times New Roman" w:cs="Times New Roman"/>
          <w:sz w:val="28"/>
          <w:szCs w:val="28"/>
        </w:rPr>
        <w:t xml:space="preserve"> per quarter from the third quarter of 2020 through the f</w:t>
      </w:r>
      <w:r w:rsidR="001067BF" w:rsidRPr="005114D4">
        <w:rPr>
          <w:rFonts w:ascii="Times New Roman" w:eastAsia="Times New Roman" w:hAnsi="Times New Roman" w:cs="Times New Roman"/>
          <w:sz w:val="28"/>
          <w:szCs w:val="28"/>
        </w:rPr>
        <w:t>irst</w:t>
      </w:r>
      <w:r w:rsidR="004E253E" w:rsidRPr="005114D4">
        <w:rPr>
          <w:rFonts w:ascii="Times New Roman" w:eastAsia="Times New Roman" w:hAnsi="Times New Roman" w:cs="Times New Roman"/>
          <w:sz w:val="28"/>
          <w:szCs w:val="28"/>
        </w:rPr>
        <w:t xml:space="preserve"> quarter of 202</w:t>
      </w:r>
      <w:r w:rsidR="001067BF" w:rsidRPr="005114D4">
        <w:rPr>
          <w:rFonts w:ascii="Times New Roman" w:eastAsia="Times New Roman" w:hAnsi="Times New Roman" w:cs="Times New Roman"/>
          <w:sz w:val="28"/>
          <w:szCs w:val="28"/>
        </w:rPr>
        <w:t>2</w:t>
      </w:r>
      <w:r w:rsidR="004E253E" w:rsidRPr="005114D4">
        <w:rPr>
          <w:rFonts w:ascii="Times New Roman" w:eastAsia="Times New Roman" w:hAnsi="Times New Roman" w:cs="Times New Roman"/>
          <w:sz w:val="28"/>
          <w:szCs w:val="28"/>
        </w:rPr>
        <w:t xml:space="preserve">.  During the </w:t>
      </w:r>
      <w:r w:rsidR="005114D4">
        <w:rPr>
          <w:rFonts w:ascii="Times New Roman" w:eastAsia="Times New Roman" w:hAnsi="Times New Roman" w:cs="Times New Roman"/>
          <w:sz w:val="28"/>
          <w:szCs w:val="28"/>
        </w:rPr>
        <w:t xml:space="preserve">second </w:t>
      </w:r>
      <w:r w:rsidR="001067BF" w:rsidRPr="005114D4">
        <w:rPr>
          <w:rFonts w:ascii="Times New Roman" w:eastAsia="Times New Roman" w:hAnsi="Times New Roman" w:cs="Times New Roman"/>
          <w:sz w:val="28"/>
          <w:szCs w:val="28"/>
        </w:rPr>
        <w:t>quarter of 2022</w:t>
      </w:r>
      <w:r w:rsidR="004E253E" w:rsidRPr="005114D4">
        <w:rPr>
          <w:rFonts w:ascii="Times New Roman" w:eastAsia="Times New Roman" w:hAnsi="Times New Roman" w:cs="Times New Roman"/>
          <w:sz w:val="28"/>
          <w:szCs w:val="28"/>
        </w:rPr>
        <w:t xml:space="preserve"> (the most recent quarter available), net gains were </w:t>
      </w:r>
      <w:r w:rsidR="005114D4" w:rsidRPr="005114D4">
        <w:rPr>
          <w:rFonts w:ascii="Times New Roman" w:eastAsia="Times New Roman" w:hAnsi="Times New Roman" w:cs="Times New Roman"/>
          <w:sz w:val="28"/>
          <w:szCs w:val="28"/>
        </w:rPr>
        <w:t>941.</w:t>
      </w:r>
    </w:p>
    <w:p w14:paraId="6E5F32D8" w14:textId="552E6CCC" w:rsidR="001E7CB2" w:rsidRPr="00C30793" w:rsidRDefault="001E7CB2" w:rsidP="00BA5D8C">
      <w:pPr>
        <w:spacing w:after="0" w:line="240" w:lineRule="auto"/>
        <w:rPr>
          <w:rFonts w:ascii="Times New Roman" w:eastAsia="Times New Roman" w:hAnsi="Times New Roman" w:cs="Times New Roman"/>
          <w:sz w:val="28"/>
          <w:szCs w:val="28"/>
          <w:highlight w:val="yellow"/>
        </w:rPr>
      </w:pPr>
    </w:p>
    <w:p w14:paraId="6FF1C544" w14:textId="79B2C4B1" w:rsidR="002D0151" w:rsidRPr="002D1F82" w:rsidRDefault="00316093" w:rsidP="009A0DC4">
      <w:pPr>
        <w:spacing w:after="0" w:line="240" w:lineRule="auto"/>
        <w:rPr>
          <w:noProof/>
        </w:rPr>
      </w:pPr>
      <w:r w:rsidRPr="005114D4">
        <w:rPr>
          <w:rFonts w:ascii="Times New Roman" w:eastAsia="Times New Roman" w:hAnsi="Times New Roman" w:cs="Times New Roman"/>
          <w:sz w:val="28"/>
          <w:szCs w:val="28"/>
        </w:rPr>
        <w:t>During</w:t>
      </w:r>
      <w:r w:rsidR="00707D93" w:rsidRPr="005114D4">
        <w:rPr>
          <w:rFonts w:ascii="Times New Roman" w:eastAsia="Times New Roman" w:hAnsi="Times New Roman" w:cs="Times New Roman"/>
          <w:sz w:val="28"/>
          <w:szCs w:val="28"/>
        </w:rPr>
        <w:t xml:space="preserve"> the</w:t>
      </w:r>
      <w:r w:rsidR="00A369AC" w:rsidRPr="005114D4">
        <w:rPr>
          <w:rFonts w:ascii="Times New Roman" w:eastAsia="Times New Roman" w:hAnsi="Times New Roman" w:cs="Times New Roman"/>
          <w:sz w:val="28"/>
          <w:szCs w:val="28"/>
        </w:rPr>
        <w:t xml:space="preserve"> </w:t>
      </w:r>
      <w:r w:rsidR="005114D4" w:rsidRPr="005114D4">
        <w:rPr>
          <w:rFonts w:ascii="Times New Roman" w:eastAsia="Times New Roman" w:hAnsi="Times New Roman" w:cs="Times New Roman"/>
          <w:sz w:val="28"/>
          <w:szCs w:val="28"/>
        </w:rPr>
        <w:t>first quarter of 2023</w:t>
      </w:r>
      <w:r w:rsidR="00745757" w:rsidRPr="005114D4">
        <w:rPr>
          <w:rFonts w:ascii="Times New Roman" w:eastAsia="Times New Roman" w:hAnsi="Times New Roman" w:cs="Times New Roman"/>
          <w:sz w:val="28"/>
          <w:szCs w:val="28"/>
        </w:rPr>
        <w:t>,</w:t>
      </w:r>
      <w:r w:rsidR="00446580" w:rsidRPr="005114D4">
        <w:rPr>
          <w:rFonts w:ascii="Times New Roman" w:eastAsia="Times New Roman" w:hAnsi="Times New Roman" w:cs="Times New Roman"/>
          <w:sz w:val="28"/>
          <w:szCs w:val="28"/>
        </w:rPr>
        <w:t xml:space="preserve"> </w:t>
      </w:r>
      <w:r w:rsidR="00182341" w:rsidRPr="005114D4">
        <w:rPr>
          <w:rFonts w:ascii="Times New Roman" w:eastAsia="Times New Roman" w:hAnsi="Times New Roman" w:cs="Times New Roman"/>
          <w:b/>
          <w:sz w:val="28"/>
          <w:szCs w:val="28"/>
        </w:rPr>
        <w:t xml:space="preserve">gross job </w:t>
      </w:r>
      <w:r w:rsidR="005114D4">
        <w:rPr>
          <w:rFonts w:ascii="Times New Roman" w:eastAsia="Times New Roman" w:hAnsi="Times New Roman" w:cs="Times New Roman"/>
          <w:b/>
          <w:sz w:val="28"/>
          <w:szCs w:val="28"/>
        </w:rPr>
        <w:t>gains</w:t>
      </w:r>
      <w:r w:rsidR="00446580" w:rsidRPr="005114D4">
        <w:rPr>
          <w:rFonts w:ascii="Times New Roman" w:eastAsia="Times New Roman" w:hAnsi="Times New Roman" w:cs="Times New Roman"/>
          <w:b/>
          <w:sz w:val="28"/>
          <w:szCs w:val="28"/>
        </w:rPr>
        <w:t xml:space="preserve"> </w:t>
      </w:r>
      <w:r w:rsidR="00446580" w:rsidRPr="005114D4">
        <w:rPr>
          <w:rFonts w:ascii="Times New Roman" w:eastAsia="Times New Roman" w:hAnsi="Times New Roman" w:cs="Times New Roman"/>
          <w:sz w:val="28"/>
          <w:szCs w:val="28"/>
        </w:rPr>
        <w:t xml:space="preserve">exceeded </w:t>
      </w:r>
      <w:r w:rsidR="009435B8" w:rsidRPr="005114D4">
        <w:rPr>
          <w:rFonts w:ascii="Times New Roman" w:eastAsia="Times New Roman" w:hAnsi="Times New Roman" w:cs="Times New Roman"/>
          <w:b/>
          <w:sz w:val="28"/>
          <w:szCs w:val="28"/>
        </w:rPr>
        <w:t xml:space="preserve">gross job </w:t>
      </w:r>
      <w:r w:rsidR="005114D4" w:rsidRPr="005114D4">
        <w:rPr>
          <w:rFonts w:ascii="Times New Roman" w:eastAsia="Times New Roman" w:hAnsi="Times New Roman" w:cs="Times New Roman"/>
          <w:b/>
          <w:sz w:val="28"/>
          <w:szCs w:val="28"/>
        </w:rPr>
        <w:t>losses</w:t>
      </w:r>
      <w:r w:rsidR="009542A8" w:rsidRPr="005114D4">
        <w:rPr>
          <w:rFonts w:ascii="Times New Roman" w:eastAsia="Times New Roman" w:hAnsi="Times New Roman" w:cs="Times New Roman"/>
          <w:sz w:val="28"/>
          <w:szCs w:val="28"/>
        </w:rPr>
        <w:t xml:space="preserve"> in</w:t>
      </w:r>
      <w:r w:rsidR="00182341" w:rsidRPr="005114D4">
        <w:rPr>
          <w:rFonts w:ascii="Times New Roman" w:eastAsia="Times New Roman" w:hAnsi="Times New Roman" w:cs="Times New Roman"/>
          <w:sz w:val="28"/>
          <w:szCs w:val="28"/>
        </w:rPr>
        <w:t xml:space="preserve"> </w:t>
      </w:r>
      <w:r w:rsidR="00A53157" w:rsidRPr="005114D4">
        <w:rPr>
          <w:rFonts w:ascii="Times New Roman" w:eastAsia="Times New Roman" w:hAnsi="Times New Roman" w:cs="Times New Roman"/>
          <w:sz w:val="28"/>
          <w:szCs w:val="28"/>
        </w:rPr>
        <w:t>7</w:t>
      </w:r>
      <w:r w:rsidR="001E7CB2" w:rsidRPr="005114D4">
        <w:rPr>
          <w:rFonts w:ascii="Times New Roman" w:eastAsia="Times New Roman" w:hAnsi="Times New Roman" w:cs="Times New Roman"/>
          <w:sz w:val="28"/>
          <w:szCs w:val="28"/>
        </w:rPr>
        <w:t xml:space="preserve"> of 10</w:t>
      </w:r>
      <w:r w:rsidR="00540D0A" w:rsidRPr="005114D4">
        <w:rPr>
          <w:rFonts w:ascii="Times New Roman" w:eastAsia="Times New Roman" w:hAnsi="Times New Roman" w:cs="Times New Roman"/>
          <w:sz w:val="28"/>
          <w:szCs w:val="28"/>
        </w:rPr>
        <w:t xml:space="preserve"> indust</w:t>
      </w:r>
      <w:r w:rsidR="001E7CB2" w:rsidRPr="005114D4">
        <w:rPr>
          <w:rFonts w:ascii="Times New Roman" w:eastAsia="Times New Roman" w:hAnsi="Times New Roman" w:cs="Times New Roman"/>
          <w:sz w:val="28"/>
          <w:szCs w:val="28"/>
        </w:rPr>
        <w:t>ries</w:t>
      </w:r>
      <w:r w:rsidR="006C06F2" w:rsidRPr="005114D4">
        <w:rPr>
          <w:rFonts w:ascii="Times New Roman" w:eastAsia="Times New Roman" w:hAnsi="Times New Roman" w:cs="Times New Roman"/>
          <w:sz w:val="28"/>
          <w:szCs w:val="28"/>
        </w:rPr>
        <w:t>.</w:t>
      </w:r>
      <w:r w:rsidR="007D7788" w:rsidRPr="005114D4">
        <w:rPr>
          <w:rFonts w:ascii="Times New Roman" w:eastAsia="Times New Roman" w:hAnsi="Times New Roman" w:cs="Times New Roman"/>
          <w:sz w:val="28"/>
          <w:szCs w:val="28"/>
        </w:rPr>
        <w:t xml:space="preserve">  </w:t>
      </w:r>
      <w:r w:rsidR="009D0989" w:rsidRPr="005114D4">
        <w:rPr>
          <w:rFonts w:ascii="Times New Roman" w:eastAsia="Times New Roman" w:hAnsi="Times New Roman" w:cs="Times New Roman"/>
          <w:sz w:val="28"/>
          <w:szCs w:val="28"/>
        </w:rPr>
        <w:t xml:space="preserve">The largest net </w:t>
      </w:r>
      <w:r w:rsidR="005114D4" w:rsidRPr="005114D4">
        <w:rPr>
          <w:rFonts w:ascii="Times New Roman" w:eastAsia="Times New Roman" w:hAnsi="Times New Roman" w:cs="Times New Roman"/>
          <w:sz w:val="28"/>
          <w:szCs w:val="28"/>
        </w:rPr>
        <w:t>in</w:t>
      </w:r>
      <w:r w:rsidR="009D0989" w:rsidRPr="005114D4">
        <w:rPr>
          <w:rFonts w:ascii="Times New Roman" w:eastAsia="Times New Roman" w:hAnsi="Times New Roman" w:cs="Times New Roman"/>
          <w:sz w:val="28"/>
          <w:szCs w:val="28"/>
        </w:rPr>
        <w:t xml:space="preserve">creases occurred in </w:t>
      </w:r>
      <w:r w:rsidR="005114D4">
        <w:rPr>
          <w:rFonts w:ascii="Times New Roman" w:eastAsia="Times New Roman" w:hAnsi="Times New Roman" w:cs="Times New Roman"/>
          <w:sz w:val="28"/>
          <w:szCs w:val="28"/>
        </w:rPr>
        <w:t>Leisure &amp; Hospitality (+4,246 jobs) and Educational &amp; Health Services (+3,819 jobs).  The three net decreasing industries were Transportation &amp; Warehousing (-2,039 jobs), Financial Activities (-351 jobs), and Manufacturing (88 jobs).</w:t>
      </w:r>
      <w:r w:rsidR="005114D4">
        <w:rPr>
          <w:rFonts w:ascii="Times New Roman" w:eastAsia="Times New Roman" w:hAnsi="Times New Roman" w:cs="Times New Roman"/>
          <w:sz w:val="28"/>
          <w:szCs w:val="28"/>
          <w:highlight w:val="yellow"/>
        </w:rPr>
        <w:br/>
      </w:r>
      <w:r w:rsidR="007F6351" w:rsidRPr="002D1F82">
        <w:rPr>
          <w:rFonts w:ascii="Times New Roman" w:eastAsia="Times New Roman" w:hAnsi="Times New Roman" w:cs="Times New Roman"/>
          <w:sz w:val="28"/>
          <w:szCs w:val="28"/>
        </w:rPr>
        <w:br/>
      </w:r>
    </w:p>
    <w:p w14:paraId="41B036A6" w14:textId="07EA87B7" w:rsidR="003D0A6C" w:rsidRPr="002D1F82" w:rsidRDefault="00C30793" w:rsidP="00607CE9">
      <w:pPr>
        <w:spacing w:after="0" w:line="240" w:lineRule="auto"/>
        <w:jc w:val="center"/>
        <w:rPr>
          <w:noProof/>
        </w:rPr>
      </w:pPr>
      <w:r>
        <w:rPr>
          <w:noProof/>
        </w:rPr>
        <w:lastRenderedPageBreak/>
        <w:drawing>
          <wp:inline distT="0" distB="0" distL="0" distR="0" wp14:anchorId="33647DDA" wp14:editId="40294E49">
            <wp:extent cx="5055079" cy="2785016"/>
            <wp:effectExtent l="0" t="0" r="0" b="0"/>
            <wp:docPr id="1933972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606" cy="2791917"/>
                    </a:xfrm>
                    <a:prstGeom prst="rect">
                      <a:avLst/>
                    </a:prstGeom>
                    <a:noFill/>
                  </pic:spPr>
                </pic:pic>
              </a:graphicData>
            </a:graphic>
          </wp:inline>
        </w:drawing>
      </w:r>
      <w:r w:rsidR="007D7788" w:rsidRPr="002D1F82">
        <w:rPr>
          <w:noProof/>
        </w:rPr>
        <w:br/>
      </w:r>
      <w:r w:rsidR="005C7F95" w:rsidRPr="002D1F82">
        <w:rPr>
          <w:noProof/>
        </w:rPr>
        <w:br/>
      </w:r>
    </w:p>
    <w:p w14:paraId="202D5EF7" w14:textId="13869142" w:rsidR="002D0151" w:rsidRPr="002D1F82" w:rsidRDefault="00540D0A"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Ad</w:t>
      </w:r>
      <w:r w:rsidR="0026284D" w:rsidRPr="002D1F82">
        <w:rPr>
          <w:rFonts w:ascii="Times New Roman" w:eastAsia="Times New Roman" w:hAnsi="Times New Roman" w:cs="Times New Roman"/>
          <w:sz w:val="28"/>
          <w:szCs w:val="28"/>
        </w:rPr>
        <w:t xml:space="preserve">ditional Information on Business Employment Dynamics, including data for </w:t>
      </w:r>
      <w:r w:rsidR="00B35A80" w:rsidRPr="002D1F82">
        <w:rPr>
          <w:rFonts w:ascii="Times New Roman" w:eastAsia="Times New Roman" w:hAnsi="Times New Roman" w:cs="Times New Roman"/>
          <w:sz w:val="28"/>
          <w:szCs w:val="28"/>
        </w:rPr>
        <w:t xml:space="preserve">the </w:t>
      </w:r>
      <w:r w:rsidR="0026284D" w:rsidRPr="002D1F82">
        <w:rPr>
          <w:rFonts w:ascii="Times New Roman" w:eastAsia="Times New Roman" w:hAnsi="Times New Roman" w:cs="Times New Roman"/>
          <w:sz w:val="28"/>
          <w:szCs w:val="28"/>
        </w:rPr>
        <w:t xml:space="preserve">United States, 50 states, and US territories can be found at: </w:t>
      </w:r>
      <w:hyperlink r:id="rId13" w:history="1">
        <w:r w:rsidR="0026284D" w:rsidRPr="002D1F82">
          <w:rPr>
            <w:rStyle w:val="Hyperlink"/>
            <w:rFonts w:ascii="Times New Roman" w:eastAsia="Times New Roman" w:hAnsi="Times New Roman" w:cs="Times New Roman"/>
            <w:color w:val="auto"/>
            <w:sz w:val="28"/>
            <w:szCs w:val="28"/>
          </w:rPr>
          <w:t>http://www.bls.gov/bdm/</w:t>
        </w:r>
      </w:hyperlink>
      <w:r w:rsidR="0026284D" w:rsidRPr="002D1F82">
        <w:rPr>
          <w:rFonts w:ascii="Times New Roman" w:eastAsia="Times New Roman" w:hAnsi="Times New Roman" w:cs="Times New Roman"/>
          <w:sz w:val="28"/>
          <w:szCs w:val="28"/>
        </w:rPr>
        <w:t>.</w:t>
      </w:r>
    </w:p>
    <w:p w14:paraId="07A0E959" w14:textId="77777777" w:rsidR="0026284D" w:rsidRPr="002D1F82"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Pr="002D1F82"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Pr="002D1F82" w:rsidRDefault="009D2827" w:rsidP="00CD17BA">
      <w:pPr>
        <w:spacing w:after="0" w:line="240" w:lineRule="auto"/>
        <w:rPr>
          <w:rFonts w:ascii="Times New Roman" w:eastAsia="Times New Roman" w:hAnsi="Times New Roman" w:cs="Times New Roman"/>
          <w:b/>
          <w:sz w:val="30"/>
          <w:szCs w:val="30"/>
        </w:rPr>
      </w:pPr>
    </w:p>
    <w:p w14:paraId="3C6F7B72" w14:textId="25E325C1" w:rsidR="009D2827" w:rsidRPr="002D1F82" w:rsidRDefault="00381566" w:rsidP="00CD17BA">
      <w:pPr>
        <w:spacing w:after="0" w:line="240" w:lineRule="auto"/>
        <w:rPr>
          <w:rFonts w:ascii="Times New Roman" w:eastAsia="Times New Roman" w:hAnsi="Times New Roman" w:cs="Times New Roman"/>
          <w:b/>
          <w:sz w:val="30"/>
          <w:szCs w:val="30"/>
        </w:rPr>
      </w:pPr>
      <w:r w:rsidRPr="002D1F82">
        <w:rPr>
          <w:noProof/>
        </w:rPr>
        <w:lastRenderedPageBreak/>
        <w:br/>
      </w:r>
      <w:r w:rsidR="00C30793" w:rsidRPr="00C30793">
        <w:rPr>
          <w:noProof/>
        </w:rPr>
        <w:drawing>
          <wp:inline distT="0" distB="0" distL="0" distR="0" wp14:anchorId="7EA3411B" wp14:editId="35C97D0C">
            <wp:extent cx="6847840" cy="7800975"/>
            <wp:effectExtent l="0" t="0" r="0" b="9525"/>
            <wp:docPr id="1708277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800975"/>
                    </a:xfrm>
                    <a:prstGeom prst="rect">
                      <a:avLst/>
                    </a:prstGeom>
                    <a:noFill/>
                    <a:ln>
                      <a:noFill/>
                    </a:ln>
                  </pic:spPr>
                </pic:pic>
              </a:graphicData>
            </a:graphic>
          </wp:inline>
        </w:drawing>
      </w:r>
      <w:r w:rsidR="009161BC" w:rsidRPr="002D1F82">
        <w:rPr>
          <w:rFonts w:ascii="Times New Roman" w:eastAsia="Times New Roman" w:hAnsi="Times New Roman" w:cs="Times New Roman"/>
          <w:b/>
          <w:sz w:val="30"/>
          <w:szCs w:val="30"/>
        </w:rPr>
        <w:br/>
      </w:r>
      <w:r w:rsidR="00C30793" w:rsidRPr="00C30793">
        <w:rPr>
          <w:noProof/>
        </w:rPr>
        <w:lastRenderedPageBreak/>
        <w:drawing>
          <wp:inline distT="0" distB="0" distL="0" distR="0" wp14:anchorId="52CC630D" wp14:editId="5EB020B2">
            <wp:extent cx="6847840" cy="4733925"/>
            <wp:effectExtent l="0" t="0" r="0" b="9525"/>
            <wp:docPr id="931600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733925"/>
                    </a:xfrm>
                    <a:prstGeom prst="rect">
                      <a:avLst/>
                    </a:prstGeom>
                    <a:noFill/>
                    <a:ln>
                      <a:noFill/>
                    </a:ln>
                  </pic:spPr>
                </pic:pic>
              </a:graphicData>
            </a:graphic>
          </wp:inline>
        </w:drawing>
      </w:r>
    </w:p>
    <w:p w14:paraId="3D7FF7FE" w14:textId="21C00841" w:rsidR="00707D93" w:rsidRPr="002D1F82" w:rsidRDefault="00B80AA6" w:rsidP="00CD17BA">
      <w:pPr>
        <w:spacing w:after="0" w:line="240" w:lineRule="auto"/>
        <w:rPr>
          <w:rFonts w:ascii="Times New Roman" w:eastAsia="Times New Roman" w:hAnsi="Times New Roman" w:cs="Times New Roman"/>
          <w:b/>
          <w:sz w:val="30"/>
          <w:szCs w:val="30"/>
        </w:rPr>
      </w:pPr>
      <w:r w:rsidRPr="002D1F8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Pr="002D1F82"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Pr="002D1F82"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Pr="002D1F82"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CF4453" w:rsidRDefault="001E0003" w:rsidP="001E0003">
      <w:pPr>
        <w:spacing w:after="0" w:line="240" w:lineRule="auto"/>
        <w:rPr>
          <w:rFonts w:ascii="Times New Roman" w:eastAsia="Times New Roman" w:hAnsi="Times New Roman" w:cs="Times New Roman"/>
          <w:sz w:val="23"/>
          <w:szCs w:val="23"/>
        </w:rPr>
      </w:pPr>
      <w:r w:rsidRPr="002D1F82">
        <w:rPr>
          <w:rFonts w:ascii="Times New Roman" w:eastAsia="Times New Roman" w:hAnsi="Times New Roman" w:cs="Times New Roman"/>
          <w:sz w:val="23"/>
          <w:szCs w:val="23"/>
        </w:rPr>
        <w:t>This publication was prepared by Matthew Krzyzek, Economist at the Connecticut Department of Labor</w:t>
      </w:r>
      <w:r w:rsidR="00AF3963" w:rsidRPr="002D1F82">
        <w:rPr>
          <w:rFonts w:ascii="Times New Roman" w:eastAsia="Times New Roman" w:hAnsi="Times New Roman" w:cs="Times New Roman"/>
          <w:sz w:val="23"/>
          <w:szCs w:val="23"/>
        </w:rPr>
        <w:t>,</w:t>
      </w:r>
      <w:r w:rsidRPr="002D1F82">
        <w:rPr>
          <w:rFonts w:ascii="Times New Roman" w:eastAsia="Times New Roman" w:hAnsi="Times New Roman" w:cs="Times New Roman"/>
          <w:sz w:val="23"/>
          <w:szCs w:val="23"/>
        </w:rPr>
        <w:t xml:space="preserve"> Office of Research. If you have any questions regarding this publication, please call (860) 263-6287 or Matthew.Krzyzek@ct.gov.</w:t>
      </w:r>
      <w:r w:rsidRPr="00CF4453">
        <w:rPr>
          <w:rFonts w:ascii="Times New Roman" w:eastAsia="Times New Roman" w:hAnsi="Times New Roman" w:cs="Times New Roman"/>
          <w:sz w:val="23"/>
          <w:szCs w:val="23"/>
        </w:rPr>
        <w:t xml:space="preserve"> </w:t>
      </w:r>
    </w:p>
    <w:p w14:paraId="2F7654F3" w14:textId="77777777" w:rsidR="001E0003" w:rsidRPr="00CF4453" w:rsidRDefault="001E0003" w:rsidP="00CD17BA">
      <w:pPr>
        <w:spacing w:after="0" w:line="240" w:lineRule="auto"/>
        <w:rPr>
          <w:rFonts w:ascii="Times New Roman" w:eastAsia="Times New Roman" w:hAnsi="Times New Roman" w:cs="Times New Roman"/>
          <w:b/>
          <w:sz w:val="30"/>
          <w:szCs w:val="30"/>
        </w:rPr>
      </w:pPr>
    </w:p>
    <w:sectPr w:rsidR="001E0003" w:rsidRPr="00CF445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11B0" w14:textId="77777777" w:rsidR="00B670F2" w:rsidRDefault="00B670F2" w:rsidP="00D01564">
      <w:pPr>
        <w:spacing w:after="0" w:line="240" w:lineRule="auto"/>
      </w:pPr>
      <w:r>
        <w:separator/>
      </w:r>
    </w:p>
  </w:endnote>
  <w:endnote w:type="continuationSeparator" w:id="0">
    <w:p w14:paraId="510E37C4" w14:textId="77777777" w:rsidR="00B670F2" w:rsidRDefault="00B670F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E1B3" w14:textId="77777777" w:rsidR="00B670F2" w:rsidRDefault="00B670F2" w:rsidP="00D01564">
      <w:pPr>
        <w:spacing w:after="0" w:line="240" w:lineRule="auto"/>
      </w:pPr>
      <w:r>
        <w:separator/>
      </w:r>
    </w:p>
  </w:footnote>
  <w:footnote w:type="continuationSeparator" w:id="0">
    <w:p w14:paraId="120CD6BE" w14:textId="77777777" w:rsidR="00B670F2" w:rsidRDefault="00B670F2"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c3tTQ1NjE0sjBV0lEKTi0uzszPAykwrwUAHMKqcSwAAAA="/>
  </w:docVars>
  <w:rsids>
    <w:rsidRoot w:val="006E2670"/>
    <w:rsid w:val="000010CD"/>
    <w:rsid w:val="000024BA"/>
    <w:rsid w:val="00007571"/>
    <w:rsid w:val="00013B9D"/>
    <w:rsid w:val="00020E4E"/>
    <w:rsid w:val="00026DE4"/>
    <w:rsid w:val="00033251"/>
    <w:rsid w:val="00044370"/>
    <w:rsid w:val="0005259C"/>
    <w:rsid w:val="00054FE2"/>
    <w:rsid w:val="00056F74"/>
    <w:rsid w:val="00060BE1"/>
    <w:rsid w:val="00067C47"/>
    <w:rsid w:val="00082520"/>
    <w:rsid w:val="00082626"/>
    <w:rsid w:val="000832C7"/>
    <w:rsid w:val="00084F10"/>
    <w:rsid w:val="00097519"/>
    <w:rsid w:val="00097CF5"/>
    <w:rsid w:val="000A2F8A"/>
    <w:rsid w:val="000A6D3D"/>
    <w:rsid w:val="000B026A"/>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067BF"/>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451D"/>
    <w:rsid w:val="001C16AF"/>
    <w:rsid w:val="001C47FE"/>
    <w:rsid w:val="001C51CA"/>
    <w:rsid w:val="001C5C4F"/>
    <w:rsid w:val="001C78F8"/>
    <w:rsid w:val="001D0072"/>
    <w:rsid w:val="001E0003"/>
    <w:rsid w:val="001E08C5"/>
    <w:rsid w:val="001E2480"/>
    <w:rsid w:val="001E7CB2"/>
    <w:rsid w:val="001F0AF4"/>
    <w:rsid w:val="001F4773"/>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19E6"/>
    <w:rsid w:val="002D1F82"/>
    <w:rsid w:val="002D2E66"/>
    <w:rsid w:val="002D2EDC"/>
    <w:rsid w:val="002D43D7"/>
    <w:rsid w:val="002D473B"/>
    <w:rsid w:val="002D73F8"/>
    <w:rsid w:val="002E1885"/>
    <w:rsid w:val="002E1AED"/>
    <w:rsid w:val="002E44F2"/>
    <w:rsid w:val="002E60B1"/>
    <w:rsid w:val="002F3968"/>
    <w:rsid w:val="002F4076"/>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BA3"/>
    <w:rsid w:val="00376CD4"/>
    <w:rsid w:val="00381566"/>
    <w:rsid w:val="00381F37"/>
    <w:rsid w:val="00382A92"/>
    <w:rsid w:val="00382E0C"/>
    <w:rsid w:val="003866A3"/>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22E7F"/>
    <w:rsid w:val="00433E67"/>
    <w:rsid w:val="00434063"/>
    <w:rsid w:val="0044614B"/>
    <w:rsid w:val="00446580"/>
    <w:rsid w:val="004475D3"/>
    <w:rsid w:val="00450B9B"/>
    <w:rsid w:val="00451DAC"/>
    <w:rsid w:val="00455DCD"/>
    <w:rsid w:val="00461E15"/>
    <w:rsid w:val="00463423"/>
    <w:rsid w:val="0046513C"/>
    <w:rsid w:val="00465459"/>
    <w:rsid w:val="00471C8A"/>
    <w:rsid w:val="00476B91"/>
    <w:rsid w:val="0048443E"/>
    <w:rsid w:val="00491800"/>
    <w:rsid w:val="00492127"/>
    <w:rsid w:val="0049367C"/>
    <w:rsid w:val="004A2BC0"/>
    <w:rsid w:val="004A5157"/>
    <w:rsid w:val="004A5201"/>
    <w:rsid w:val="004B2C9F"/>
    <w:rsid w:val="004C4F31"/>
    <w:rsid w:val="004E253E"/>
    <w:rsid w:val="004E7882"/>
    <w:rsid w:val="004F3949"/>
    <w:rsid w:val="00511168"/>
    <w:rsid w:val="005114D4"/>
    <w:rsid w:val="005119CE"/>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3B39"/>
    <w:rsid w:val="005C54E2"/>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5864"/>
    <w:rsid w:val="006765A2"/>
    <w:rsid w:val="00681321"/>
    <w:rsid w:val="00682DC8"/>
    <w:rsid w:val="00684BAC"/>
    <w:rsid w:val="0069781C"/>
    <w:rsid w:val="006A2FFF"/>
    <w:rsid w:val="006A7741"/>
    <w:rsid w:val="006B0C07"/>
    <w:rsid w:val="006B2706"/>
    <w:rsid w:val="006B2E5F"/>
    <w:rsid w:val="006B7056"/>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7F6351"/>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47A2A"/>
    <w:rsid w:val="0085230C"/>
    <w:rsid w:val="00852AD9"/>
    <w:rsid w:val="0085474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32F0"/>
    <w:rsid w:val="009161BC"/>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74CC6"/>
    <w:rsid w:val="00981B46"/>
    <w:rsid w:val="00981F63"/>
    <w:rsid w:val="00983FDC"/>
    <w:rsid w:val="0098528D"/>
    <w:rsid w:val="00990A3A"/>
    <w:rsid w:val="00997225"/>
    <w:rsid w:val="00997D3D"/>
    <w:rsid w:val="009A0DC4"/>
    <w:rsid w:val="009B1FF1"/>
    <w:rsid w:val="009B5C2E"/>
    <w:rsid w:val="009C0C27"/>
    <w:rsid w:val="009C28D7"/>
    <w:rsid w:val="009D0989"/>
    <w:rsid w:val="009D2827"/>
    <w:rsid w:val="009D2CDC"/>
    <w:rsid w:val="009E1801"/>
    <w:rsid w:val="009E36E8"/>
    <w:rsid w:val="009E641D"/>
    <w:rsid w:val="009E79EC"/>
    <w:rsid w:val="00A0654D"/>
    <w:rsid w:val="00A07290"/>
    <w:rsid w:val="00A13B42"/>
    <w:rsid w:val="00A1688B"/>
    <w:rsid w:val="00A16BFA"/>
    <w:rsid w:val="00A17100"/>
    <w:rsid w:val="00A33C8D"/>
    <w:rsid w:val="00A357A8"/>
    <w:rsid w:val="00A36014"/>
    <w:rsid w:val="00A369AC"/>
    <w:rsid w:val="00A37487"/>
    <w:rsid w:val="00A40D40"/>
    <w:rsid w:val="00A43439"/>
    <w:rsid w:val="00A47202"/>
    <w:rsid w:val="00A50F25"/>
    <w:rsid w:val="00A53157"/>
    <w:rsid w:val="00A6111A"/>
    <w:rsid w:val="00A6186F"/>
    <w:rsid w:val="00A62AF0"/>
    <w:rsid w:val="00A6353F"/>
    <w:rsid w:val="00A63F86"/>
    <w:rsid w:val="00A703CC"/>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D2AFE"/>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670F2"/>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01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0793"/>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CF4453"/>
    <w:rsid w:val="00D00E98"/>
    <w:rsid w:val="00D01564"/>
    <w:rsid w:val="00D01809"/>
    <w:rsid w:val="00D03EE9"/>
    <w:rsid w:val="00D04A03"/>
    <w:rsid w:val="00D07603"/>
    <w:rsid w:val="00D12983"/>
    <w:rsid w:val="00D171DE"/>
    <w:rsid w:val="00D204BE"/>
    <w:rsid w:val="00D214BA"/>
    <w:rsid w:val="00D21960"/>
    <w:rsid w:val="00D2556A"/>
    <w:rsid w:val="00D31FD2"/>
    <w:rsid w:val="00D40E8D"/>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D7B5A"/>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117"/>
    <w:rsid w:val="00E80A0D"/>
    <w:rsid w:val="00E83E12"/>
    <w:rsid w:val="00E950E5"/>
    <w:rsid w:val="00E959E8"/>
    <w:rsid w:val="00EA721D"/>
    <w:rsid w:val="00EC7340"/>
    <w:rsid w:val="00ED2350"/>
    <w:rsid w:val="00ED49BA"/>
    <w:rsid w:val="00ED6158"/>
    <w:rsid w:val="00ED6C0B"/>
    <w:rsid w:val="00EE2008"/>
    <w:rsid w:val="00EE784C"/>
    <w:rsid w:val="00F009B1"/>
    <w:rsid w:val="00F00A72"/>
    <w:rsid w:val="00F03F5A"/>
    <w:rsid w:val="00F076B2"/>
    <w:rsid w:val="00F11634"/>
    <w:rsid w:val="00F118D5"/>
    <w:rsid w:val="00F23202"/>
    <w:rsid w:val="00F26DE2"/>
    <w:rsid w:val="00F3024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C396B"/>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rzyzekm\Desktop\BED\23Q1Table%20A%20B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zyzekm\Desktop\BED\22Q4Table%20A%20B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2009-2023</a:t>
            </a:r>
          </a:p>
          <a:p>
            <a:pPr>
              <a:defRPr/>
            </a:pPr>
            <a:endParaRPr lang="en-US"/>
          </a:p>
        </c:rich>
      </c:tx>
      <c:overlay val="0"/>
    </c:title>
    <c:autoTitleDeleted val="0"/>
    <c:plotArea>
      <c:layout>
        <c:manualLayout>
          <c:layoutTarget val="inner"/>
          <c:xMode val="edge"/>
          <c:yMode val="edge"/>
          <c:x val="0.13525240594925633"/>
          <c:y val="0.17818314377369496"/>
          <c:w val="0.82894250632964217"/>
          <c:h val="0.67319270830135369"/>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1-3'!$F$72:$F$128</c:f>
              <c:numCache>
                <c:formatCode>General</c:formatCode>
                <c:ptCount val="57"/>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0</c:v>
                </c:pt>
                <c:pt idx="47">
                  <c:v>0</c:v>
                </c:pt>
                <c:pt idx="48">
                  <c:v>0</c:v>
                </c:pt>
                <c:pt idx="49">
                  <c:v>0</c:v>
                </c:pt>
                <c:pt idx="50">
                  <c:v>0</c:v>
                </c:pt>
                <c:pt idx="51">
                  <c:v>0</c:v>
                </c:pt>
                <c:pt idx="52">
                  <c:v>0</c:v>
                </c:pt>
                <c:pt idx="53">
                  <c:v>0</c:v>
                </c:pt>
                <c:pt idx="54">
                  <c:v>0</c:v>
                </c:pt>
                <c:pt idx="55">
                  <c:v>0</c:v>
                </c:pt>
                <c:pt idx="56">
                  <c:v>0</c:v>
                </c:pt>
              </c:numCache>
            </c:numRef>
          </c:val>
          <c:extLst>
            <c:ext xmlns:c16="http://schemas.microsoft.com/office/drawing/2014/chart" uri="{C3380CC4-5D6E-409C-BE32-E72D297353CC}">
              <c16:uniqueId val="{00000000-4100-4137-BEDF-2F794388CCFD}"/>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1-3'!$H$72:$I$128</c:f>
              <c:multiLvlStrCache>
                <c:ptCount val="5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pt idx="55">
                    <c:v>4</c:v>
                  </c:pt>
                  <c:pt idx="56">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pt idx="56">
                    <c:v>23</c:v>
                  </c:pt>
                </c:lvl>
              </c:multiLvlStrCache>
            </c:multiLvlStrRef>
          </c:cat>
          <c:val>
            <c:numRef>
              <c:f>'Chart 1-3'!$N$72:$N$128</c:f>
              <c:numCache>
                <c:formatCode>#,##0</c:formatCode>
                <c:ptCount val="57"/>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75545</c:v>
                </c:pt>
                <c:pt idx="29">
                  <c:v>76945</c:v>
                </c:pt>
                <c:pt idx="30">
                  <c:v>75006</c:v>
                </c:pt>
                <c:pt idx="31">
                  <c:v>72831</c:v>
                </c:pt>
                <c:pt idx="32">
                  <c:v>84312</c:v>
                </c:pt>
                <c:pt idx="33">
                  <c:v>82157</c:v>
                </c:pt>
                <c:pt idx="34">
                  <c:v>76355</c:v>
                </c:pt>
                <c:pt idx="35" formatCode="General">
                  <c:v>76254</c:v>
                </c:pt>
                <c:pt idx="36" formatCode="General">
                  <c:v>74485</c:v>
                </c:pt>
                <c:pt idx="37" formatCode="General">
                  <c:v>83163</c:v>
                </c:pt>
                <c:pt idx="38" formatCode="General">
                  <c:v>75831</c:v>
                </c:pt>
                <c:pt idx="39" formatCode="General">
                  <c:v>76051</c:v>
                </c:pt>
                <c:pt idx="40" formatCode="General">
                  <c:v>75443</c:v>
                </c:pt>
                <c:pt idx="41" formatCode="General">
                  <c:v>82937</c:v>
                </c:pt>
                <c:pt idx="42" formatCode="General">
                  <c:v>78657</c:v>
                </c:pt>
                <c:pt idx="43" formatCode="General">
                  <c:v>78173</c:v>
                </c:pt>
                <c:pt idx="44" formatCode="General">
                  <c:v>84539</c:v>
                </c:pt>
                <c:pt idx="45" formatCode="General">
                  <c:v>58551</c:v>
                </c:pt>
                <c:pt idx="46" formatCode="General">
                  <c:v>147765</c:v>
                </c:pt>
                <c:pt idx="47" formatCode="General">
                  <c:v>88525</c:v>
                </c:pt>
                <c:pt idx="48" formatCode="General">
                  <c:v>87254</c:v>
                </c:pt>
                <c:pt idx="49" formatCode="General">
                  <c:v>91203</c:v>
                </c:pt>
                <c:pt idx="50" formatCode="General">
                  <c:v>95132</c:v>
                </c:pt>
                <c:pt idx="51" formatCode="_(* #,##0_);_(* \(#,##0\);_(* &quot;-&quot;??_);_(@_)">
                  <c:v>96129</c:v>
                </c:pt>
                <c:pt idx="52" formatCode="General">
                  <c:v>90078</c:v>
                </c:pt>
                <c:pt idx="53" formatCode="General">
                  <c:v>89906</c:v>
                </c:pt>
                <c:pt idx="54" formatCode="_(* #,##0_);_(* \(#,##0\);_(* &quot;-&quot;??_);_(@_)">
                  <c:v>89510</c:v>
                </c:pt>
                <c:pt idx="55">
                  <c:v>84396</c:v>
                </c:pt>
                <c:pt idx="56" formatCode="General">
                  <c:v>87749</c:v>
                </c:pt>
              </c:numCache>
            </c:numRef>
          </c:val>
          <c:smooth val="0"/>
          <c:extLst>
            <c:ext xmlns:c16="http://schemas.microsoft.com/office/drawing/2014/chart" uri="{C3380CC4-5D6E-409C-BE32-E72D297353CC}">
              <c16:uniqueId val="{00000001-4100-4137-BEDF-2F794388CCFD}"/>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1-3'!$H$72:$I$128</c:f>
              <c:multiLvlStrCache>
                <c:ptCount val="5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pt idx="55">
                    <c:v>4</c:v>
                  </c:pt>
                  <c:pt idx="56">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pt idx="56">
                    <c:v>23</c:v>
                  </c:pt>
                </c:lvl>
              </c:multiLvlStrCache>
            </c:multiLvlStrRef>
          </c:cat>
          <c:val>
            <c:numRef>
              <c:f>'Chart 1-3'!$Q$72:$Q$128</c:f>
              <c:numCache>
                <c:formatCode>#,##0</c:formatCode>
                <c:ptCount val="57"/>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71764</c:v>
                </c:pt>
                <c:pt idx="29">
                  <c:v>76646</c:v>
                </c:pt>
                <c:pt idx="30">
                  <c:v>75708</c:v>
                </c:pt>
                <c:pt idx="31">
                  <c:v>75644</c:v>
                </c:pt>
                <c:pt idx="32">
                  <c:v>77051</c:v>
                </c:pt>
                <c:pt idx="33">
                  <c:v>75323</c:v>
                </c:pt>
                <c:pt idx="34">
                  <c:v>82860</c:v>
                </c:pt>
                <c:pt idx="35" formatCode="General">
                  <c:v>75597</c:v>
                </c:pt>
                <c:pt idx="36" formatCode="General">
                  <c:v>76838</c:v>
                </c:pt>
                <c:pt idx="37" formatCode="General">
                  <c:v>72772</c:v>
                </c:pt>
                <c:pt idx="38" formatCode="General">
                  <c:v>81308</c:v>
                </c:pt>
                <c:pt idx="39" formatCode="General">
                  <c:v>71656</c:v>
                </c:pt>
                <c:pt idx="40" formatCode="General">
                  <c:v>82781</c:v>
                </c:pt>
                <c:pt idx="41" formatCode="General">
                  <c:v>82065</c:v>
                </c:pt>
                <c:pt idx="42" formatCode="General">
                  <c:v>82249</c:v>
                </c:pt>
                <c:pt idx="43" formatCode="General">
                  <c:v>79920</c:v>
                </c:pt>
                <c:pt idx="44" formatCode="General">
                  <c:v>86069</c:v>
                </c:pt>
                <c:pt idx="45" formatCode="_(* #,##0_);_(* \(#,##0\);_(* &quot;-&quot;??_);_(@_)">
                  <c:v>262467</c:v>
                </c:pt>
                <c:pt idx="46" formatCode="General">
                  <c:v>65688</c:v>
                </c:pt>
                <c:pt idx="47" formatCode="General">
                  <c:v>79381</c:v>
                </c:pt>
                <c:pt idx="48" formatCode="General">
                  <c:v>72822</c:v>
                </c:pt>
                <c:pt idx="49" formatCode="General">
                  <c:v>78953</c:v>
                </c:pt>
                <c:pt idx="50" formatCode="General">
                  <c:v>82819</c:v>
                </c:pt>
                <c:pt idx="51" formatCode="_(* #,##0_);_(* \(#,##0\);_(* &quot;-&quot;??_);_(@_)">
                  <c:v>74341</c:v>
                </c:pt>
                <c:pt idx="52" formatCode="General">
                  <c:v>75266</c:v>
                </c:pt>
                <c:pt idx="53" formatCode="General">
                  <c:v>88645</c:v>
                </c:pt>
                <c:pt idx="54" formatCode="_(* #,##0_);_(* \(#,##0\);_(* &quot;-&quot;??_);_(@_)">
                  <c:v>87391</c:v>
                </c:pt>
                <c:pt idx="55">
                  <c:v>84879</c:v>
                </c:pt>
                <c:pt idx="56" formatCode="General">
                  <c:v>75054</c:v>
                </c:pt>
              </c:numCache>
            </c:numRef>
          </c:val>
          <c:smooth val="0"/>
          <c:extLst>
            <c:ext xmlns:c16="http://schemas.microsoft.com/office/drawing/2014/chart" uri="{C3380CC4-5D6E-409C-BE32-E72D297353CC}">
              <c16:uniqueId val="{00000002-4100-4137-BEDF-2F794388CCFD}"/>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52632626871070054"/>
          <c:y val="0.2825412039659736"/>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2009-2023</a:t>
            </a:r>
          </a:p>
        </c:rich>
      </c:tx>
      <c:overlay val="0"/>
    </c:title>
    <c:autoTitleDeleted val="0"/>
    <c:plotArea>
      <c:layout>
        <c:manualLayout>
          <c:layoutTarget val="inner"/>
          <c:xMode val="edge"/>
          <c:yMode val="edge"/>
          <c:x val="0.11410464994510235"/>
          <c:y val="0.15774314668999706"/>
          <c:w val="0.85573132642893157"/>
          <c:h val="0.52889472149314665"/>
        </c:manualLayout>
      </c:layout>
      <c:areaChart>
        <c:grouping val="standard"/>
        <c:varyColors val="0"/>
        <c:ser>
          <c:idx val="1"/>
          <c:order val="0"/>
          <c:tx>
            <c:strRef>
              <c:f>'Chart 4 Births_Deaths'!$I$1</c:f>
              <c:strCache>
                <c:ptCount val="1"/>
                <c:pt idx="0">
                  <c:v>or establishment b</c:v>
                </c:pt>
              </c:strCache>
            </c:strRef>
          </c:tx>
          <c:spPr>
            <a:solidFill>
              <a:srgbClr val="61CD9A"/>
            </a:solidFill>
            <a:ln w="25400">
              <a:noFill/>
            </a:ln>
          </c:spPr>
          <c:cat>
            <c:multiLvlStrRef>
              <c:f>'Chart 4 Births_Deaths'!$T$76:$U$132</c:f>
              <c:multiLvlStrCache>
                <c:ptCount val="5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pt idx="55">
                    <c:v>4</c:v>
                  </c:pt>
                  <c:pt idx="56">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pt idx="56">
                    <c:v>23</c:v>
                  </c:pt>
                </c:lvl>
              </c:multiLvlStrCache>
            </c:multiLvlStrRef>
          </c:cat>
          <c:val>
            <c:numRef>
              <c:f>'Chart 4 Births_Deaths'!$I$76:$I$132</c:f>
              <c:numCache>
                <c:formatCode>#,##0</c:formatCode>
                <c:ptCount val="57"/>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2093</c:v>
                </c:pt>
                <c:pt idx="29">
                  <c:v>2146</c:v>
                </c:pt>
                <c:pt idx="30">
                  <c:v>2096</c:v>
                </c:pt>
                <c:pt idx="31">
                  <c:v>1992</c:v>
                </c:pt>
                <c:pt idx="32">
                  <c:v>2276</c:v>
                </c:pt>
                <c:pt idx="33">
                  <c:v>2194</c:v>
                </c:pt>
                <c:pt idx="34">
                  <c:v>2245</c:v>
                </c:pt>
                <c:pt idx="35">
                  <c:v>2246</c:v>
                </c:pt>
                <c:pt idx="36">
                  <c:v>2254</c:v>
                </c:pt>
                <c:pt idx="37">
                  <c:v>2308</c:v>
                </c:pt>
                <c:pt idx="38">
                  <c:v>2342</c:v>
                </c:pt>
                <c:pt idx="39">
                  <c:v>2225</c:v>
                </c:pt>
                <c:pt idx="40">
                  <c:v>2451</c:v>
                </c:pt>
                <c:pt idx="41">
                  <c:v>2234</c:v>
                </c:pt>
                <c:pt idx="42">
                  <c:v>2364</c:v>
                </c:pt>
                <c:pt idx="43">
                  <c:v>2159</c:v>
                </c:pt>
                <c:pt idx="44">
                  <c:v>6698</c:v>
                </c:pt>
                <c:pt idx="45">
                  <c:v>2329</c:v>
                </c:pt>
                <c:pt idx="46">
                  <c:v>3391</c:v>
                </c:pt>
                <c:pt idx="47">
                  <c:v>3677</c:v>
                </c:pt>
                <c:pt idx="48">
                  <c:v>3763</c:v>
                </c:pt>
                <c:pt idx="49">
                  <c:v>4197</c:v>
                </c:pt>
                <c:pt idx="50">
                  <c:v>4467</c:v>
                </c:pt>
                <c:pt idx="51">
                  <c:v>4401</c:v>
                </c:pt>
                <c:pt idx="52">
                  <c:v>4375</c:v>
                </c:pt>
                <c:pt idx="53">
                  <c:v>4063</c:v>
                </c:pt>
                <c:pt idx="54">
                  <c:v>4364</c:v>
                </c:pt>
                <c:pt idx="55">
                  <c:v>4191</c:v>
                </c:pt>
                <c:pt idx="56">
                  <c:v>4331</c:v>
                </c:pt>
              </c:numCache>
            </c:numRef>
          </c:val>
          <c:extLst>
            <c:ext xmlns:c16="http://schemas.microsoft.com/office/drawing/2014/chart" uri="{C3380CC4-5D6E-409C-BE32-E72D297353CC}">
              <c16:uniqueId val="{00000000-8903-44BD-A7A0-2CCD4205BB49}"/>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Births_Deaths'!$T$76:$U$132</c:f>
              <c:multiLvlStrCache>
                <c:ptCount val="5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pt idx="55">
                    <c:v>4</c:v>
                  </c:pt>
                  <c:pt idx="56">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pt idx="56">
                    <c:v>23</c:v>
                  </c:pt>
                </c:lvl>
              </c:multiLvlStrCache>
            </c:multiLvlStrRef>
          </c:cat>
          <c:val>
            <c:numRef>
              <c:f>'Chart 4 Births_Deaths'!$S$76:$S$129</c:f>
              <c:numCache>
                <c:formatCode>General</c:formatCode>
                <c:ptCount val="54"/>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-1593</c:v>
                </c:pt>
                <c:pt idx="29">
                  <c:v>-2394</c:v>
                </c:pt>
                <c:pt idx="30">
                  <c:v>-2233</c:v>
                </c:pt>
                <c:pt idx="31">
                  <c:v>-2284</c:v>
                </c:pt>
                <c:pt idx="32">
                  <c:v>-1516</c:v>
                </c:pt>
                <c:pt idx="33">
                  <c:v>-2398</c:v>
                </c:pt>
                <c:pt idx="34">
                  <c:v>-2501</c:v>
                </c:pt>
                <c:pt idx="35">
                  <c:v>-2563</c:v>
                </c:pt>
                <c:pt idx="36">
                  <c:v>-1662</c:v>
                </c:pt>
                <c:pt idx="37">
                  <c:v>-2330</c:v>
                </c:pt>
                <c:pt idx="38">
                  <c:v>-2509</c:v>
                </c:pt>
                <c:pt idx="39">
                  <c:v>-2200</c:v>
                </c:pt>
                <c:pt idx="40">
                  <c:v>-4389</c:v>
                </c:pt>
                <c:pt idx="41">
                  <c:v>-2778</c:v>
                </c:pt>
                <c:pt idx="42">
                  <c:v>-2307</c:v>
                </c:pt>
                <c:pt idx="43">
                  <c:v>-2312</c:v>
                </c:pt>
                <c:pt idx="44">
                  <c:v>-2587</c:v>
                </c:pt>
                <c:pt idx="45">
                  <c:v>-3894</c:v>
                </c:pt>
                <c:pt idx="46">
                  <c:v>-2715</c:v>
                </c:pt>
                <c:pt idx="47">
                  <c:v>-2273</c:v>
                </c:pt>
                <c:pt idx="48">
                  <c:v>-2403</c:v>
                </c:pt>
                <c:pt idx="49">
                  <c:v>-2495</c:v>
                </c:pt>
                <c:pt idx="50">
                  <c:v>-2939</c:v>
                </c:pt>
                <c:pt idx="51">
                  <c:v>-2830</c:v>
                </c:pt>
                <c:pt idx="52">
                  <c:v>-2883</c:v>
                </c:pt>
                <c:pt idx="53">
                  <c:v>-3122</c:v>
                </c:pt>
              </c:numCache>
            </c:numRef>
          </c:val>
          <c:extLst>
            <c:ext xmlns:c16="http://schemas.microsoft.com/office/drawing/2014/chart" uri="{C3380CC4-5D6E-409C-BE32-E72D297353CC}">
              <c16:uniqueId val="{00000001-8903-44BD-A7A0-2CCD4205BB49}"/>
            </c:ext>
          </c:extLst>
        </c:ser>
        <c:dLbls>
          <c:showLegendKey val="0"/>
          <c:showVal val="0"/>
          <c:showCatName val="0"/>
          <c:showSerName val="0"/>
          <c:showPercent val="0"/>
          <c:showBubbleSize val="0"/>
        </c:dLbls>
        <c:axId val="104516224"/>
        <c:axId val="10198668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c:ext xmlns:c16="http://schemas.microsoft.com/office/drawing/2014/chart" uri="{C3380CC4-5D6E-409C-BE32-E72D297353CC}">
                <c16:uniqueId val="{00000002-8903-44BD-A7A0-2CCD4205BB49}"/>
              </c:ext>
            </c:extLst>
          </c:dPt>
          <c:dPt>
            <c:idx val="1"/>
            <c:bubble3D val="0"/>
            <c:extLst>
              <c:ext xmlns:c16="http://schemas.microsoft.com/office/drawing/2014/chart" uri="{C3380CC4-5D6E-409C-BE32-E72D297353CC}">
                <c16:uniqueId val="{00000003-8903-44BD-A7A0-2CCD4205BB49}"/>
              </c:ext>
            </c:extLst>
          </c:dPt>
          <c:dPt>
            <c:idx val="2"/>
            <c:bubble3D val="0"/>
            <c:extLst>
              <c:ext xmlns:c16="http://schemas.microsoft.com/office/drawing/2014/chart" uri="{C3380CC4-5D6E-409C-BE32-E72D297353CC}">
                <c16:uniqueId val="{00000004-8903-44BD-A7A0-2CCD4205BB49}"/>
              </c:ext>
            </c:extLst>
          </c:dPt>
          <c:dPt>
            <c:idx val="39"/>
            <c:bubble3D val="0"/>
            <c:extLst>
              <c:ext xmlns:c16="http://schemas.microsoft.com/office/drawing/2014/chart" uri="{C3380CC4-5D6E-409C-BE32-E72D297353CC}">
                <c16:uniqueId val="{00000005-8903-44BD-A7A0-2CCD4205BB49}"/>
              </c:ext>
            </c:extLst>
          </c:dPt>
          <c:dPt>
            <c:idx val="40"/>
            <c:bubble3D val="0"/>
            <c:extLst>
              <c:ext xmlns:c16="http://schemas.microsoft.com/office/drawing/2014/chart" uri="{C3380CC4-5D6E-409C-BE32-E72D297353CC}">
                <c16:uniqueId val="{00000006-8903-44BD-A7A0-2CCD4205BB49}"/>
              </c:ext>
            </c:extLst>
          </c:dPt>
          <c:dPt>
            <c:idx val="87"/>
            <c:bubble3D val="0"/>
            <c:extLst>
              <c:ext xmlns:c16="http://schemas.microsoft.com/office/drawing/2014/chart" uri="{C3380CC4-5D6E-409C-BE32-E72D297353CC}">
                <c16:uniqueId val="{00000007-8903-44BD-A7A0-2CCD4205BB49}"/>
              </c:ext>
            </c:extLst>
          </c:dPt>
          <c:dPt>
            <c:idx val="88"/>
            <c:bubble3D val="0"/>
            <c:extLst>
              <c:ext xmlns:c16="http://schemas.microsoft.com/office/drawing/2014/chart" uri="{C3380CC4-5D6E-409C-BE32-E72D297353CC}">
                <c16:uniqueId val="{00000008-8903-44BD-A7A0-2CCD4205BB49}"/>
              </c:ext>
            </c:extLst>
          </c:dPt>
          <c:cat>
            <c:multiLvlStrRef>
              <c:f>'Chart 4 Births_Deaths'!$T$76:$U$132</c:f>
              <c:multiLvlStrCache>
                <c:ptCount val="5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pt idx="55">
                    <c:v>4</c:v>
                  </c:pt>
                  <c:pt idx="56">
                    <c:v>1</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pt idx="56">
                    <c:v>23</c:v>
                  </c:pt>
                </c:lvl>
              </c:multiLvlStrCache>
            </c:multiLvlStrRef>
          </c:cat>
          <c:val>
            <c:numRef>
              <c:f>'Chart 4 Births_Deaths'!$M$76:$M$129</c:f>
              <c:numCache>
                <c:formatCode>#,##0;[Red]#,##0</c:formatCode>
                <c:ptCount val="54"/>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500</c:v>
                </c:pt>
                <c:pt idx="29">
                  <c:v>-248</c:v>
                </c:pt>
                <c:pt idx="30">
                  <c:v>-137</c:v>
                </c:pt>
                <c:pt idx="31">
                  <c:v>-292</c:v>
                </c:pt>
                <c:pt idx="32">
                  <c:v>760</c:v>
                </c:pt>
                <c:pt idx="33">
                  <c:v>-204</c:v>
                </c:pt>
                <c:pt idx="34">
                  <c:v>-256</c:v>
                </c:pt>
                <c:pt idx="35">
                  <c:v>-317</c:v>
                </c:pt>
                <c:pt idx="36">
                  <c:v>592</c:v>
                </c:pt>
                <c:pt idx="37">
                  <c:v>-22</c:v>
                </c:pt>
                <c:pt idx="38">
                  <c:v>-167</c:v>
                </c:pt>
                <c:pt idx="39">
                  <c:v>25</c:v>
                </c:pt>
                <c:pt idx="40">
                  <c:v>-1938</c:v>
                </c:pt>
                <c:pt idx="41">
                  <c:v>-544</c:v>
                </c:pt>
                <c:pt idx="42">
                  <c:v>57</c:v>
                </c:pt>
                <c:pt idx="43">
                  <c:v>-153</c:v>
                </c:pt>
                <c:pt idx="44">
                  <c:v>4111</c:v>
                </c:pt>
                <c:pt idx="45">
                  <c:v>-1565</c:v>
                </c:pt>
                <c:pt idx="46">
                  <c:v>676</c:v>
                </c:pt>
                <c:pt idx="47">
                  <c:v>1404</c:v>
                </c:pt>
                <c:pt idx="48">
                  <c:v>1360</c:v>
                </c:pt>
                <c:pt idx="49">
                  <c:v>1702</c:v>
                </c:pt>
                <c:pt idx="50">
                  <c:v>1528</c:v>
                </c:pt>
                <c:pt idx="51">
                  <c:v>1571</c:v>
                </c:pt>
                <c:pt idx="52">
                  <c:v>1492</c:v>
                </c:pt>
                <c:pt idx="53">
                  <c:v>941</c:v>
                </c:pt>
              </c:numCache>
            </c:numRef>
          </c:val>
          <c:smooth val="0"/>
          <c:extLst>
            <c:ext xmlns:c16="http://schemas.microsoft.com/office/drawing/2014/chart" uri="{C3380CC4-5D6E-409C-BE32-E72D297353CC}">
              <c16:uniqueId val="{00000009-8903-44BD-A7A0-2CCD4205BB49}"/>
            </c:ext>
          </c:extLst>
        </c:ser>
        <c:dLbls>
          <c:showLegendKey val="0"/>
          <c:showVal val="0"/>
          <c:showCatName val="0"/>
          <c:showSerName val="0"/>
          <c:showPercent val="0"/>
          <c:showBubbleSize val="0"/>
        </c:dLbls>
        <c:marker val="1"/>
        <c:smooth val="0"/>
        <c:axId val="104516224"/>
        <c:axId val="101986688"/>
      </c:lineChart>
      <c:catAx>
        <c:axId val="104516224"/>
        <c:scaling>
          <c:orientation val="minMax"/>
        </c:scaling>
        <c:delete val="0"/>
        <c:axPos val="b"/>
        <c:numFmt formatCode="#,##0.00" sourceLinked="0"/>
        <c:majorTickMark val="out"/>
        <c:minorTickMark val="none"/>
        <c:tickLblPos val="low"/>
        <c:crossAx val="101986688"/>
        <c:crosses val="autoZero"/>
        <c:auto val="1"/>
        <c:lblAlgn val="ctr"/>
        <c:lblOffset val="100"/>
        <c:noMultiLvlLbl val="0"/>
      </c:catAx>
      <c:valAx>
        <c:axId val="101986688"/>
        <c:scaling>
          <c:orientation val="minMax"/>
        </c:scaling>
        <c:delete val="0"/>
        <c:axPos val="l"/>
        <c:majorGridlines/>
        <c:numFmt formatCode="#,##0" sourceLinked="1"/>
        <c:majorTickMark val="out"/>
        <c:minorTickMark val="none"/>
        <c:tickLblPos val="nextTo"/>
        <c:spPr>
          <a:solidFill>
            <a:srgbClr val="FFFFFF"/>
          </a:solidFill>
        </c:spPr>
        <c:crossAx val="104516224"/>
        <c:crosses val="autoZero"/>
        <c:crossBetween val="between"/>
      </c:valAx>
      <c:spPr>
        <a:solidFill>
          <a:srgbClr val="FFFFFF"/>
        </a:solidFill>
      </c:spPr>
    </c:plotArea>
    <c:legend>
      <c:legendPos val="b"/>
      <c:layout>
        <c:manualLayout>
          <c:xMode val="edge"/>
          <c:yMode val="edge"/>
          <c:x val="9.3874889475951379E-2"/>
          <c:y val="0.88850503062117236"/>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2022-01-26T16:53:00Z</cp:lastPrinted>
  <dcterms:created xsi:type="dcterms:W3CDTF">2023-10-25T18:43:00Z</dcterms:created>
  <dcterms:modified xsi:type="dcterms:W3CDTF">2023-10-25T18:43:00Z</dcterms:modified>
</cp:coreProperties>
</file>